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t>27.200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hint="eastAsia" w:ascii="宋体" w:hAnsi="宋体"/>
                      <w:sz w:val="28"/>
                      <w:szCs w:val="28"/>
                    </w:rPr>
                  </w:pPr>
                </w:p>
              </w:tc>
            </w:tr>
          </w:tbl>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J 73</w:t>
            </w:r>
          </w:p>
        </w:tc>
      </w:tr>
    </w:tbl>
    <w:p>
      <w:pPr>
        <w:pStyle w:val="50"/>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0"/>
    <w:p>
      <w:pPr>
        <w:pStyle w:val="195"/>
        <w:rPr>
          <w:rFonts w:hint="eastAsia"/>
        </w:rPr>
      </w:pPr>
      <w:r>
        <w:t>T/</w:t>
      </w:r>
      <w:r>
        <w:rPr>
          <w:rFonts w:hint="eastAsia"/>
        </w:rPr>
        <w:t>FSS</w:t>
      </w:r>
      <w:r>
        <w:t xml:space="preserve">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rPr>
          <w:rFonts w:hint="eastAsia"/>
        </w:rPr>
        <w:t>2025</w:t>
      </w:r>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2" w:name="CSTD_NAME"/>
      <w:r>
        <w:instrText xml:space="preserve"> FORMTEXT </w:instrText>
      </w:r>
      <w:r>
        <w:fldChar w:fldCharType="separate"/>
      </w:r>
      <w:r>
        <w:rPr>
          <w:rFonts w:hint="eastAsia"/>
        </w:rPr>
        <w:t>佛山标准  家用除湿机</w:t>
      </w:r>
      <w:r>
        <w:fldChar w:fldCharType="end"/>
      </w:r>
      <w:bookmarkEnd w:id="2"/>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3" w:name="ESTD_NAME"/>
      <w:r>
        <w:rPr>
          <w:rFonts w:eastAsia="黑体"/>
          <w:szCs w:val="28"/>
        </w:rPr>
        <w:instrText xml:space="preserve"> FORMTEXT </w:instrText>
      </w:r>
      <w:r>
        <w:rPr>
          <w:rFonts w:eastAsia="黑体"/>
          <w:szCs w:val="28"/>
        </w:rPr>
        <w:fldChar w:fldCharType="separate"/>
      </w:r>
      <w:r>
        <w:rPr>
          <w:rFonts w:hint="eastAsia" w:eastAsia="黑体"/>
          <w:szCs w:val="28"/>
        </w:rPr>
        <w:t>Foshan Standard Household dehumidifiers</w:t>
      </w:r>
      <w:r>
        <w:rPr>
          <w:rFonts w:eastAsia="黑体"/>
          <w:szCs w:val="28"/>
        </w:rPr>
        <w:fldChar w:fldCharType="end"/>
      </w:r>
      <w:bookmarkEnd w:id="3"/>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4" w:name="下拉1"/>
      <w:r>
        <w:rPr>
          <w:sz w:val="24"/>
          <w:szCs w:val="28"/>
        </w:rPr>
        <w:instrText xml:space="preserve"> FORMDROPDOWN </w:instrText>
      </w:r>
      <w:r>
        <w:rPr>
          <w:sz w:val="24"/>
          <w:szCs w:val="28"/>
        </w:rPr>
        <w:fldChar w:fldCharType="separate"/>
      </w:r>
      <w:r>
        <w:rPr>
          <w:sz w:val="24"/>
          <w:szCs w:val="28"/>
        </w:rPr>
        <w:fldChar w:fldCharType="end"/>
      </w:r>
      <w:bookmarkEnd w:id="4"/>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5"/>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pPr>
        <w:pStyle w:val="193"/>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3" w:name="fm"/>
      <w:r>
        <w:rPr>
          <w:rFonts w:hAnsi="黑体"/>
          <w:w w:val="100"/>
          <w:sz w:val="28"/>
        </w:rPr>
        <w:instrText xml:space="preserve"> FORMTEXT </w:instrText>
      </w:r>
      <w:r>
        <w:rPr>
          <w:rFonts w:hAnsi="黑体"/>
          <w:w w:val="100"/>
          <w:sz w:val="28"/>
        </w:rPr>
        <w:fldChar w:fldCharType="separate"/>
      </w:r>
      <w:r>
        <w:rPr>
          <w:rFonts w:hint="eastAsia" w:hAnsi="黑体"/>
          <w:w w:val="100"/>
          <w:sz w:val="28"/>
        </w:rPr>
        <w:t>佛山市佛山标准和卓越绩效管理促进会</w:t>
      </w:r>
      <w:r>
        <w:rPr>
          <w:rFonts w:hAnsi="黑体"/>
          <w:w w:val="100"/>
          <w:sz w:val="28"/>
        </w:rPr>
        <w:fldChar w:fldCharType="end"/>
      </w:r>
      <w:bookmarkEnd w:id="13"/>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360"/>
        <w:rPr>
          <w:rFonts w:hint="eastAsia"/>
        </w:rPr>
      </w:pPr>
      <w:bookmarkStart w:id="14" w:name="BookMark2"/>
      <w:r>
        <w:rPr>
          <w:rFonts w:hint="eastAsia"/>
          <w:spacing w:val="320"/>
        </w:rPr>
        <w:t>前</w:t>
      </w:r>
      <w:r>
        <w:rPr>
          <w:rFonts w:hint="eastAsia"/>
        </w:rPr>
        <w:t>言</w:t>
      </w:r>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本文件由佛山市佛山标准和卓越绩效管理促进会提出并归口。</w:t>
      </w:r>
    </w:p>
    <w:p>
      <w:pPr>
        <w:pStyle w:val="56"/>
        <w:ind w:firstLine="420"/>
      </w:pPr>
      <w:r>
        <w:rPr>
          <w:rFonts w:hint="eastAsia"/>
        </w:rPr>
        <w:t>本文件起草单位：。</w:t>
      </w:r>
    </w:p>
    <w:p>
      <w:pPr>
        <w:pStyle w:val="56"/>
        <w:ind w:firstLine="420"/>
      </w:pPr>
      <w:r>
        <w:rPr>
          <w:rFonts w:hint="eastAsia"/>
        </w:rPr>
        <w:t>本文件主要起草人：</w:t>
      </w:r>
    </w:p>
    <w:p>
      <w:pPr>
        <w:pStyle w:val="56"/>
        <w:ind w:firstLine="420"/>
        <w:rPr>
          <w:rFonts w:hint="eastAsia"/>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14"/>
    <w:p>
      <w:pPr>
        <w:pStyle w:val="89"/>
        <w:spacing w:after="360"/>
        <w:rPr>
          <w:rFonts w:hint="eastAsia"/>
        </w:rPr>
      </w:pPr>
      <w:bookmarkStart w:id="15" w:name="BookMark3"/>
      <w:r>
        <w:rPr>
          <w:rFonts w:hint="eastAsia"/>
          <w:spacing w:val="320"/>
        </w:rPr>
        <w:t>引</w:t>
      </w:r>
      <w:r>
        <w:rPr>
          <w:rFonts w:hint="eastAsia"/>
        </w:rPr>
        <w:t>言</w:t>
      </w:r>
    </w:p>
    <w:p>
      <w:pPr>
        <w:pStyle w:val="56"/>
        <w:ind w:firstLine="420"/>
      </w:pPr>
      <w:r>
        <w:rPr>
          <w:rFonts w:hint="eastAsia"/>
        </w:rPr>
        <w:t>佛山标准是佛山市为推动制造业高质量发展，打造的系列先进标准。</w:t>
      </w:r>
    </w:p>
    <w:p>
      <w:pPr>
        <w:pStyle w:val="56"/>
        <w:ind w:firstLine="420"/>
        <w:rPr>
          <w:rFonts w:hint="eastAsia"/>
        </w:rPr>
        <w:sectPr>
          <w:pgSz w:w="11906" w:h="16838"/>
          <w:pgMar w:top="1928" w:right="1134" w:bottom="1134" w:left="1134" w:header="1418" w:footer="1134" w:gutter="284"/>
          <w:pgNumType w:fmt="upperRoman"/>
          <w:cols w:space="425" w:num="1"/>
          <w:formProt w:val="0"/>
          <w:docGrid w:linePitch="312" w:charSpace="0"/>
        </w:sectPr>
      </w:pPr>
      <w:r>
        <w:rPr>
          <w:rFonts w:hint="eastAsia"/>
        </w:rPr>
        <w:t>佛山标准倡导“标准决定质量，只有高标准才有高质量”的理念，坚持“国内领先、国际先进”定位，聚焦佛山制造业重点产业电烤箱，对标国内国际先进标准，围绕消费升级方向，提升标准和质量水平，增加优质除湿机供给，以高标准打造中国制造品质高地，满足人民日益增长的美好生活需要。</w:t>
      </w:r>
    </w:p>
    <w:bookmarkEnd w:id="15"/>
    <w:p>
      <w:pPr>
        <w:spacing w:line="20" w:lineRule="exact"/>
        <w:jc w:val="center"/>
        <w:rPr>
          <w:rFonts w:hint="eastAsia" w:ascii="黑体" w:hAnsi="黑体" w:eastAsia="黑体"/>
          <w:sz w:val="32"/>
          <w:szCs w:val="32"/>
        </w:rPr>
      </w:pPr>
      <w:bookmarkStart w:id="16"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DA4AE59237CC47849C2296FFA9DE8F60"/>
        </w:placeholder>
      </w:sdtPr>
      <w:sdtContent>
        <w:p>
          <w:pPr>
            <w:pStyle w:val="177"/>
            <w:spacing w:before="240" w:beforeLines="100" w:after="528" w:afterLines="220"/>
            <w:rPr>
              <w:rFonts w:hint="eastAsia"/>
            </w:rPr>
          </w:pPr>
          <w:bookmarkStart w:id="17" w:name="NEW_STAND_NAME"/>
          <w:r>
            <w:rPr>
              <w:rFonts w:hint="eastAsia"/>
            </w:rPr>
            <w:t>佛山标准  家用除湿机</w:t>
          </w:r>
        </w:p>
      </w:sdtContent>
    </w:sdt>
    <w:bookmarkEnd w:id="17"/>
    <w:p>
      <w:pPr>
        <w:pStyle w:val="104"/>
        <w:spacing w:before="240" w:after="240"/>
      </w:pPr>
      <w:bookmarkStart w:id="18" w:name="_Toc24884218"/>
      <w:bookmarkStart w:id="19" w:name="_Toc26986771"/>
      <w:bookmarkStart w:id="20" w:name="_Toc24884211"/>
      <w:bookmarkStart w:id="21" w:name="_Toc17233325"/>
      <w:bookmarkStart w:id="22" w:name="_Toc97192964"/>
      <w:bookmarkStart w:id="23" w:name="_Toc26718930"/>
      <w:bookmarkStart w:id="24" w:name="_Toc26648465"/>
      <w:bookmarkStart w:id="25" w:name="_Toc26986530"/>
      <w:bookmarkStart w:id="26" w:name="_Toc17233333"/>
      <w:r>
        <w:rPr>
          <w:rFonts w:hint="eastAsia"/>
        </w:rPr>
        <w:t>范围</w:t>
      </w:r>
      <w:bookmarkEnd w:id="18"/>
      <w:bookmarkEnd w:id="19"/>
      <w:bookmarkEnd w:id="20"/>
      <w:bookmarkEnd w:id="21"/>
      <w:bookmarkEnd w:id="22"/>
      <w:bookmarkEnd w:id="23"/>
      <w:bookmarkEnd w:id="24"/>
      <w:bookmarkEnd w:id="25"/>
      <w:bookmarkEnd w:id="26"/>
    </w:p>
    <w:p>
      <w:pPr>
        <w:pStyle w:val="56"/>
        <w:ind w:firstLine="420"/>
      </w:pPr>
      <w:bookmarkStart w:id="27" w:name="OLE_LINK15"/>
      <w:bookmarkStart w:id="28" w:name="_Toc17233326"/>
      <w:bookmarkStart w:id="29" w:name="_Toc24884212"/>
      <w:bookmarkStart w:id="30" w:name="_Toc26648466"/>
      <w:bookmarkStart w:id="31" w:name="_Toc17233334"/>
      <w:bookmarkStart w:id="32" w:name="_Toc24884219"/>
      <w:r>
        <w:rPr>
          <w:rFonts w:hint="eastAsia"/>
        </w:rPr>
        <w:t>本文件规定了除湿机的型式与基本参数、要求、试验方法、检验规则、标志、包装、运输、贮存和质量承诺。</w:t>
      </w:r>
    </w:p>
    <w:p>
      <w:pPr>
        <w:pStyle w:val="56"/>
        <w:ind w:firstLine="420"/>
      </w:pPr>
      <w:r>
        <w:rPr>
          <w:rFonts w:hint="eastAsia"/>
        </w:rPr>
        <w:t>本文件适用于以机械制冷方式除湿、以冷凝热为空气再热方式的额定除湿量在0.16 kg/h</w:t>
      </w:r>
      <w:bookmarkStart w:id="33" w:name="OLE_LINK17"/>
      <w:r>
        <w:rPr>
          <w:rFonts w:hint="eastAsia" w:hAnsi="宋体" w:cs="宋体"/>
          <w:highlight w:val="none"/>
        </w:rPr>
        <w:t>～</w:t>
      </w:r>
      <w:bookmarkEnd w:id="33"/>
      <w:r>
        <w:rPr>
          <w:rFonts w:hint="eastAsia"/>
        </w:rPr>
        <w:t>2.50 kg/h的家用除湿机。</w:t>
      </w:r>
    </w:p>
    <w:p>
      <w:pPr>
        <w:pStyle w:val="56"/>
        <w:ind w:firstLine="420"/>
        <w:rPr>
          <w:rFonts w:hint="eastAsia" w:eastAsia="宋体"/>
          <w:lang w:eastAsia="zh-CN"/>
        </w:rPr>
      </w:pPr>
      <w:r>
        <w:rPr>
          <w:rFonts w:hint="eastAsia"/>
        </w:rPr>
        <w:t>本文件不适用于全新风除湿机</w:t>
      </w:r>
      <w:r>
        <w:rPr>
          <w:rFonts w:hint="eastAsia"/>
          <w:lang w:eastAsia="zh-CN"/>
        </w:rPr>
        <w:t>。</w:t>
      </w:r>
      <w:bookmarkEnd w:id="27"/>
    </w:p>
    <w:p>
      <w:pPr>
        <w:pStyle w:val="104"/>
        <w:spacing w:before="240" w:after="240"/>
      </w:pPr>
      <w:bookmarkStart w:id="34" w:name="_Toc26986531"/>
      <w:bookmarkStart w:id="35" w:name="_Toc26986772"/>
      <w:bookmarkStart w:id="36" w:name="_Toc26718931"/>
      <w:bookmarkStart w:id="37" w:name="_Toc97192965"/>
      <w:r>
        <w:rPr>
          <w:rFonts w:hint="eastAsia"/>
        </w:rPr>
        <w:t>规范性引用文件</w:t>
      </w:r>
      <w:bookmarkEnd w:id="28"/>
      <w:bookmarkEnd w:id="29"/>
      <w:bookmarkEnd w:id="30"/>
      <w:bookmarkEnd w:id="31"/>
      <w:bookmarkEnd w:id="32"/>
      <w:bookmarkEnd w:id="34"/>
      <w:bookmarkEnd w:id="35"/>
      <w:bookmarkEnd w:id="36"/>
      <w:bookmarkEnd w:id="37"/>
    </w:p>
    <w:sdt>
      <w:sdtPr>
        <w:rPr>
          <w:rFonts w:hint="eastAsia"/>
        </w:rPr>
        <w:id w:val="715848253"/>
        <w:placeholder>
          <w:docPart w:val="9C353C7D1E074FBE8E43C6CB682EA1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keepNext w:val="0"/>
        <w:keepLines w:val="0"/>
        <w:pageBreakBefore w:val="0"/>
        <w:widowControl/>
        <w:kinsoku/>
        <w:wordWrap/>
        <w:overflowPunct/>
        <w:topLinePunct w:val="0"/>
        <w:bidi w:val="0"/>
        <w:snapToGrid/>
        <w:spacing w:line="240" w:lineRule="auto"/>
        <w:ind w:left="420"/>
        <w:textAlignment w:val="auto"/>
        <w:rPr>
          <w:rFonts w:ascii="宋体" w:hAnsi="宋体"/>
        </w:rPr>
      </w:pPr>
      <w:bookmarkStart w:id="38" w:name="OLE_LINK14"/>
      <w:r>
        <w:rPr>
          <w:rFonts w:ascii="宋体" w:hAnsi="宋体"/>
        </w:rPr>
        <w:t>GB</w:t>
      </w:r>
      <w:r>
        <w:rPr>
          <w:rFonts w:hint="eastAsia" w:ascii="宋体" w:hAnsi="宋体"/>
        </w:rPr>
        <w:t xml:space="preserve"> </w:t>
      </w:r>
      <w:r>
        <w:rPr>
          <w:rFonts w:ascii="宋体" w:hAnsi="宋体"/>
        </w:rPr>
        <w:t>4343.1</w:t>
      </w:r>
      <w:r>
        <w:rPr>
          <w:rFonts w:hint="eastAsia" w:ascii="宋体" w:hAnsi="宋体"/>
        </w:rPr>
        <w:t>—</w:t>
      </w:r>
      <w:r>
        <w:rPr>
          <w:rFonts w:ascii="宋体" w:hAnsi="宋体"/>
        </w:rPr>
        <w:t>2018 家用电器、电动工具和类似器具的电磁兼容要求</w:t>
      </w:r>
      <w:r>
        <w:rPr>
          <w:rFonts w:hint="eastAsia" w:ascii="宋体" w:hAnsi="宋体"/>
        </w:rPr>
        <w:t xml:space="preserve"> </w:t>
      </w:r>
      <w:r>
        <w:rPr>
          <w:rFonts w:ascii="宋体" w:hAnsi="宋体"/>
        </w:rPr>
        <w:t>第1部分</w:t>
      </w:r>
      <w:r>
        <w:rPr>
          <w:rFonts w:hint="eastAsia" w:ascii="宋体" w:hAnsi="宋体"/>
        </w:rPr>
        <w:t>：</w:t>
      </w:r>
      <w:r>
        <w:rPr>
          <w:rFonts w:ascii="宋体" w:hAnsi="宋体"/>
        </w:rPr>
        <w:t>发射</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GB/T</w:t>
      </w:r>
      <w:r>
        <w:rPr>
          <w:rFonts w:hint="eastAsia" w:ascii="宋体" w:hAnsi="宋体"/>
        </w:rPr>
        <w:t xml:space="preserve"> </w:t>
      </w:r>
      <w:r>
        <w:rPr>
          <w:rFonts w:ascii="宋体" w:hAnsi="宋体"/>
        </w:rPr>
        <w:t>4343.2</w:t>
      </w:r>
      <w:r>
        <w:rPr>
          <w:rFonts w:hint="eastAsia" w:ascii="宋体" w:hAnsi="宋体"/>
        </w:rPr>
        <w:t>—2020</w:t>
      </w:r>
      <w:r>
        <w:rPr>
          <w:rFonts w:ascii="宋体" w:hAnsi="宋体"/>
        </w:rPr>
        <w:t xml:space="preserve"> 家用电器、电动工具和类似器具的电磁兼容要求</w:t>
      </w:r>
      <w:r>
        <w:rPr>
          <w:rFonts w:hint="eastAsia" w:ascii="宋体" w:hAnsi="宋体"/>
        </w:rPr>
        <w:t xml:space="preserve"> </w:t>
      </w:r>
      <w:r>
        <w:rPr>
          <w:rFonts w:ascii="宋体" w:hAnsi="宋体"/>
        </w:rPr>
        <w:t>第2部分</w:t>
      </w:r>
      <w:r>
        <w:rPr>
          <w:rFonts w:hint="eastAsia" w:ascii="宋体" w:hAnsi="宋体"/>
        </w:rPr>
        <w:t>：</w:t>
      </w:r>
      <w:r>
        <w:rPr>
          <w:rFonts w:ascii="宋体" w:hAnsi="宋体"/>
        </w:rPr>
        <w:t>抗扰度</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GB</w:t>
      </w:r>
      <w:r>
        <w:rPr>
          <w:rFonts w:hint="eastAsia" w:ascii="宋体" w:hAnsi="宋体"/>
        </w:rPr>
        <w:t xml:space="preserve">/T </w:t>
      </w:r>
      <w:r>
        <w:rPr>
          <w:rFonts w:ascii="宋体" w:hAnsi="宋体"/>
        </w:rPr>
        <w:t>4706.1</w:t>
      </w:r>
      <w:r>
        <w:rPr>
          <w:rFonts w:hint="eastAsia" w:ascii="宋体" w:hAnsi="宋体"/>
        </w:rPr>
        <w:t>—2024</w:t>
      </w:r>
      <w:r>
        <w:rPr>
          <w:rFonts w:ascii="宋体" w:hAnsi="宋体"/>
        </w:rPr>
        <w:t xml:space="preserve"> 家用和类似用途电器的安全</w:t>
      </w:r>
      <w:r>
        <w:rPr>
          <w:rFonts w:hint="eastAsia" w:ascii="宋体" w:hAnsi="宋体"/>
        </w:rPr>
        <w:t xml:space="preserve"> </w:t>
      </w:r>
      <w:r>
        <w:rPr>
          <w:rFonts w:ascii="宋体" w:hAnsi="宋体"/>
        </w:rPr>
        <w:t>第1部分</w:t>
      </w:r>
      <w:r>
        <w:rPr>
          <w:rFonts w:hint="eastAsia" w:ascii="宋体" w:hAnsi="宋体"/>
        </w:rPr>
        <w:t>：</w:t>
      </w:r>
      <w:r>
        <w:rPr>
          <w:rFonts w:ascii="宋体" w:hAnsi="宋体"/>
        </w:rPr>
        <w:t>通用要求</w:t>
      </w:r>
    </w:p>
    <w:p>
      <w:pPr>
        <w:keepNext w:val="0"/>
        <w:keepLines w:val="0"/>
        <w:pageBreakBefore w:val="0"/>
        <w:widowControl/>
        <w:kinsoku/>
        <w:wordWrap/>
        <w:overflowPunct/>
        <w:topLinePunct w:val="0"/>
        <w:bidi w:val="0"/>
        <w:snapToGrid/>
        <w:spacing w:line="240" w:lineRule="auto"/>
        <w:ind w:left="420"/>
        <w:jc w:val="left"/>
        <w:textAlignment w:val="auto"/>
        <w:rPr>
          <w:rFonts w:ascii="宋体" w:hAnsi="宋体"/>
        </w:rPr>
      </w:pPr>
      <w:bookmarkStart w:id="39" w:name="OLE_LINK13"/>
      <w:r>
        <w:rPr>
          <w:rFonts w:ascii="宋体" w:hAnsi="宋体"/>
        </w:rPr>
        <w:t>GB</w:t>
      </w:r>
      <w:r>
        <w:rPr>
          <w:rFonts w:hint="eastAsia" w:ascii="宋体" w:hAnsi="宋体"/>
        </w:rPr>
        <w:t xml:space="preserve">/T </w:t>
      </w:r>
      <w:r>
        <w:rPr>
          <w:rFonts w:ascii="宋体" w:hAnsi="宋体"/>
        </w:rPr>
        <w:t>4706.32</w:t>
      </w:r>
      <w:bookmarkEnd w:id="39"/>
      <w:r>
        <w:rPr>
          <w:rFonts w:ascii="宋体" w:hAnsi="宋体"/>
        </w:rPr>
        <w:t xml:space="preserve"> 家用和类似用途电器的安全</w:t>
      </w:r>
      <w:r>
        <w:rPr>
          <w:rFonts w:hint="eastAsia" w:ascii="宋体" w:hAnsi="宋体"/>
        </w:rPr>
        <w:t xml:space="preserve"> </w:t>
      </w:r>
      <w:r>
        <w:rPr>
          <w:rFonts w:ascii="宋体" w:hAnsi="宋体"/>
        </w:rPr>
        <w:t>热泵、空调器和除湿机的特殊要求</w:t>
      </w:r>
    </w:p>
    <w:p>
      <w:pPr>
        <w:keepNext w:val="0"/>
        <w:keepLines w:val="0"/>
        <w:pageBreakBefore w:val="0"/>
        <w:widowControl/>
        <w:kinsoku/>
        <w:wordWrap/>
        <w:overflowPunct/>
        <w:topLinePunct w:val="0"/>
        <w:bidi w:val="0"/>
        <w:snapToGrid/>
        <w:spacing w:line="240" w:lineRule="auto"/>
        <w:ind w:left="420"/>
        <w:jc w:val="left"/>
        <w:textAlignment w:val="auto"/>
        <w:rPr>
          <w:rFonts w:ascii="宋体" w:hAnsi="宋体"/>
        </w:rPr>
      </w:pPr>
      <w:r>
        <w:rPr>
          <w:rFonts w:ascii="宋体" w:hAnsi="宋体"/>
        </w:rPr>
        <w:t>GB/T</w:t>
      </w:r>
      <w:r>
        <w:rPr>
          <w:rFonts w:hint="eastAsia" w:ascii="宋体" w:hAnsi="宋体"/>
        </w:rPr>
        <w:t xml:space="preserve"> </w:t>
      </w:r>
      <w:r>
        <w:rPr>
          <w:rFonts w:ascii="宋体" w:hAnsi="宋体"/>
        </w:rPr>
        <w:t>5226.1</w:t>
      </w:r>
      <w:r>
        <w:rPr>
          <w:rFonts w:hint="eastAsia" w:ascii="宋体" w:hAnsi="宋体"/>
        </w:rPr>
        <w:t>—</w:t>
      </w:r>
      <w:r>
        <w:rPr>
          <w:rFonts w:ascii="宋体" w:hAnsi="宋体"/>
        </w:rPr>
        <w:t>2019 机械电气安全</w:t>
      </w:r>
      <w:r>
        <w:rPr>
          <w:rFonts w:hint="eastAsia" w:ascii="宋体" w:hAnsi="宋体"/>
        </w:rPr>
        <w:t xml:space="preserve"> </w:t>
      </w:r>
      <w:r>
        <w:rPr>
          <w:rFonts w:ascii="宋体" w:hAnsi="宋体"/>
        </w:rPr>
        <w:t>机械电气设备</w:t>
      </w:r>
      <w:r>
        <w:rPr>
          <w:rFonts w:ascii="宋体" w:hAnsi="宋体"/>
        </w:rPr>
        <w:tab/>
      </w:r>
      <w:r>
        <w:rPr>
          <w:rFonts w:ascii="宋体" w:hAnsi="宋体"/>
        </w:rPr>
        <w:t>第1部分</w:t>
      </w:r>
      <w:r>
        <w:rPr>
          <w:rFonts w:hint="eastAsia" w:ascii="宋体" w:hAnsi="宋体"/>
        </w:rPr>
        <w:t>：</w:t>
      </w:r>
      <w:r>
        <w:rPr>
          <w:rFonts w:ascii="宋体" w:hAnsi="宋体"/>
        </w:rPr>
        <w:t>通用技术条件</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GB/T</w:t>
      </w:r>
      <w:r>
        <w:rPr>
          <w:rFonts w:hint="eastAsia" w:ascii="宋体" w:hAnsi="宋体"/>
        </w:rPr>
        <w:t xml:space="preserve"> </w:t>
      </w:r>
      <w:r>
        <w:rPr>
          <w:rFonts w:ascii="宋体" w:hAnsi="宋体"/>
        </w:rPr>
        <w:t>9237 制冷系统及热泵</w:t>
      </w:r>
      <w:r>
        <w:rPr>
          <w:rFonts w:hint="eastAsia" w:ascii="宋体" w:hAnsi="宋体"/>
        </w:rPr>
        <w:t xml:space="preserve"> </w:t>
      </w:r>
      <w:r>
        <w:rPr>
          <w:rFonts w:ascii="宋体" w:hAnsi="宋体"/>
        </w:rPr>
        <w:t>安全与环境要求</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GB/T</w:t>
      </w:r>
      <w:r>
        <w:rPr>
          <w:rFonts w:hint="eastAsia" w:ascii="宋体" w:hAnsi="宋体"/>
        </w:rPr>
        <w:t xml:space="preserve"> </w:t>
      </w:r>
      <w:r>
        <w:rPr>
          <w:rFonts w:ascii="宋体" w:hAnsi="宋体"/>
        </w:rPr>
        <w:t>9286—2021 色漆和清漆</w:t>
      </w:r>
      <w:r>
        <w:rPr>
          <w:rFonts w:hint="eastAsia" w:ascii="宋体" w:hAnsi="宋体"/>
        </w:rPr>
        <w:t xml:space="preserve"> </w:t>
      </w:r>
      <w:r>
        <w:rPr>
          <w:rFonts w:ascii="宋体" w:hAnsi="宋体"/>
        </w:rPr>
        <w:t>划格试验</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GB/T</w:t>
      </w:r>
      <w:r>
        <w:rPr>
          <w:rFonts w:hint="eastAsia" w:ascii="宋体" w:hAnsi="宋体"/>
        </w:rPr>
        <w:t xml:space="preserve"> </w:t>
      </w:r>
      <w:r>
        <w:rPr>
          <w:rFonts w:ascii="宋体" w:hAnsi="宋体"/>
        </w:rPr>
        <w:t>16842</w:t>
      </w:r>
      <w:r>
        <w:rPr>
          <w:rFonts w:hint="eastAsia" w:ascii="宋体" w:hAnsi="宋体"/>
        </w:rPr>
        <w:t>—</w:t>
      </w:r>
      <w:r>
        <w:rPr>
          <w:rFonts w:ascii="宋体" w:hAnsi="宋体"/>
        </w:rPr>
        <w:t>2016 外壳对人和设备的防护</w:t>
      </w:r>
      <w:r>
        <w:rPr>
          <w:rFonts w:hint="eastAsia" w:ascii="宋体" w:hAnsi="宋体"/>
        </w:rPr>
        <w:t xml:space="preserve"> </w:t>
      </w:r>
      <w:r>
        <w:rPr>
          <w:rFonts w:ascii="宋体" w:hAnsi="宋体"/>
        </w:rPr>
        <w:t>检验用试具</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GB</w:t>
      </w:r>
      <w:r>
        <w:rPr>
          <w:rFonts w:hint="eastAsia" w:ascii="宋体" w:hAnsi="宋体"/>
        </w:rPr>
        <w:t xml:space="preserve"> </w:t>
      </w:r>
      <w:r>
        <w:rPr>
          <w:rFonts w:ascii="宋体" w:hAnsi="宋体"/>
        </w:rPr>
        <w:t>17625.1</w:t>
      </w:r>
      <w:r>
        <w:rPr>
          <w:rFonts w:hint="eastAsia" w:ascii="宋体" w:hAnsi="宋体"/>
        </w:rPr>
        <w:t>—</w:t>
      </w:r>
      <w:r>
        <w:rPr>
          <w:rFonts w:ascii="宋体" w:hAnsi="宋体"/>
        </w:rPr>
        <w:t>2022 电磁兼容</w:t>
      </w:r>
      <w:r>
        <w:rPr>
          <w:rFonts w:hint="eastAsia" w:ascii="宋体" w:hAnsi="宋体"/>
        </w:rPr>
        <w:t xml:space="preserve"> </w:t>
      </w:r>
      <w:r>
        <w:rPr>
          <w:rFonts w:ascii="宋体" w:hAnsi="宋体"/>
        </w:rPr>
        <w:t>限值</w:t>
      </w:r>
      <w:r>
        <w:rPr>
          <w:rFonts w:hint="eastAsia" w:ascii="宋体" w:hAnsi="宋体"/>
        </w:rPr>
        <w:t xml:space="preserve"> </w:t>
      </w:r>
      <w:r>
        <w:rPr>
          <w:rFonts w:ascii="宋体" w:hAnsi="宋体"/>
        </w:rPr>
        <w:t>第1部分</w:t>
      </w:r>
      <w:r>
        <w:rPr>
          <w:rFonts w:hint="eastAsia" w:ascii="宋体" w:hAnsi="宋体"/>
        </w:rPr>
        <w:t>：</w:t>
      </w:r>
      <w:r>
        <w:rPr>
          <w:rFonts w:ascii="宋体" w:hAnsi="宋体"/>
        </w:rPr>
        <w:t>谐波电流发射限值(设备每相输入电流</w:t>
      </w:r>
      <w:r>
        <w:rPr>
          <w:rFonts w:hint="eastAsia" w:ascii="宋体" w:hAnsi="宋体" w:cs="宋体"/>
        </w:rPr>
        <w:t>≤</w:t>
      </w:r>
      <w:r>
        <w:rPr>
          <w:rFonts w:ascii="宋体" w:hAnsi="宋体"/>
        </w:rPr>
        <w:t>16A)</w:t>
      </w:r>
    </w:p>
    <w:p>
      <w:pPr>
        <w:keepNext w:val="0"/>
        <w:keepLines w:val="0"/>
        <w:pageBreakBefore w:val="0"/>
        <w:widowControl/>
        <w:kinsoku/>
        <w:wordWrap/>
        <w:overflowPunct/>
        <w:topLinePunct w:val="0"/>
        <w:bidi w:val="0"/>
        <w:snapToGrid/>
        <w:spacing w:line="240" w:lineRule="auto"/>
        <w:ind w:firstLine="420" w:firstLineChars="200"/>
        <w:textAlignment w:val="auto"/>
        <w:rPr>
          <w:rFonts w:ascii="宋体" w:hAnsi="宋体"/>
        </w:rPr>
      </w:pPr>
      <w:r>
        <w:rPr>
          <w:rFonts w:ascii="宋体" w:hAnsi="宋体"/>
        </w:rPr>
        <w:t>GB/T</w:t>
      </w:r>
      <w:r>
        <w:rPr>
          <w:rFonts w:hint="eastAsia" w:ascii="宋体" w:hAnsi="宋体"/>
        </w:rPr>
        <w:t xml:space="preserve"> </w:t>
      </w:r>
      <w:r>
        <w:rPr>
          <w:rFonts w:ascii="宋体" w:hAnsi="宋体"/>
        </w:rPr>
        <w:t>17625.8 电磁兼容</w:t>
      </w:r>
      <w:r>
        <w:rPr>
          <w:rFonts w:hint="eastAsia" w:ascii="宋体" w:hAnsi="宋体"/>
        </w:rPr>
        <w:t xml:space="preserve"> </w:t>
      </w:r>
      <w:r>
        <w:rPr>
          <w:rFonts w:ascii="宋体" w:hAnsi="宋体"/>
        </w:rPr>
        <w:t>限值</w:t>
      </w:r>
      <w:r>
        <w:rPr>
          <w:rFonts w:hint="eastAsia" w:ascii="宋体" w:hAnsi="宋体"/>
        </w:rPr>
        <w:t xml:space="preserve"> </w:t>
      </w:r>
      <w:r>
        <w:rPr>
          <w:rFonts w:ascii="宋体" w:hAnsi="宋体"/>
        </w:rPr>
        <w:t>每相输入电流大于16 A小于等于75 A连接到公用低压系统的设备产生的谐波电流限值</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bookmarkStart w:id="40" w:name="OLE_LINK1"/>
      <w:r>
        <w:rPr>
          <w:rFonts w:ascii="宋体" w:hAnsi="宋体"/>
        </w:rPr>
        <w:t xml:space="preserve">GB/T </w:t>
      </w:r>
      <w:r>
        <w:rPr>
          <w:rFonts w:hint="eastAsia" w:ascii="宋体" w:hAnsi="宋体"/>
        </w:rPr>
        <w:t>19411—2024</w:t>
      </w:r>
      <w:bookmarkEnd w:id="40"/>
      <w:r>
        <w:rPr>
          <w:rFonts w:hint="eastAsia" w:ascii="宋体" w:hAnsi="宋体"/>
        </w:rPr>
        <w:t xml:space="preserve"> 除湿机</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hint="eastAsia" w:ascii="宋体" w:hAnsi="宋体"/>
        </w:rPr>
        <w:t>GB/T 21551.2  家用和类似用途电器的抗菌、除菌、净化功能 第2部分：抗菌材料的特殊要求</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GB</w:t>
      </w:r>
      <w:r>
        <w:rPr>
          <w:rFonts w:hint="eastAsia" w:ascii="宋体" w:hAnsi="宋体"/>
        </w:rPr>
        <w:t xml:space="preserve"> </w:t>
      </w:r>
      <w:r>
        <w:rPr>
          <w:rFonts w:ascii="宋体" w:hAnsi="宋体"/>
        </w:rPr>
        <w:t>21551.3</w:t>
      </w:r>
      <w:r>
        <w:rPr>
          <w:rFonts w:hint="eastAsia" w:ascii="宋体" w:hAnsi="宋体"/>
        </w:rPr>
        <w:t>—</w:t>
      </w:r>
      <w:r>
        <w:rPr>
          <w:rFonts w:ascii="宋体" w:hAnsi="宋体"/>
        </w:rPr>
        <w:t>2010 家用和类似用途电器的抗菌、除菌、净化功能</w:t>
      </w:r>
      <w:r>
        <w:rPr>
          <w:rFonts w:hint="eastAsia" w:ascii="宋体" w:hAnsi="宋体"/>
        </w:rPr>
        <w:t xml:space="preserve"> </w:t>
      </w:r>
      <w:r>
        <w:rPr>
          <w:rFonts w:ascii="宋体" w:hAnsi="宋体"/>
        </w:rPr>
        <w:t>空气净化器的特殊要求</w:t>
      </w:r>
    </w:p>
    <w:p>
      <w:pPr>
        <w:keepNext w:val="0"/>
        <w:keepLines w:val="0"/>
        <w:pageBreakBefore w:val="0"/>
        <w:widowControl/>
        <w:kinsoku/>
        <w:wordWrap/>
        <w:overflowPunct/>
        <w:topLinePunct w:val="0"/>
        <w:bidi w:val="0"/>
        <w:snapToGrid/>
        <w:spacing w:line="240" w:lineRule="auto"/>
        <w:ind w:firstLine="420" w:firstLineChars="200"/>
        <w:textAlignment w:val="auto"/>
        <w:rPr>
          <w:rFonts w:ascii="宋体" w:hAnsi="宋体"/>
        </w:rPr>
      </w:pPr>
      <w:r>
        <w:rPr>
          <w:rFonts w:ascii="宋体" w:hAnsi="宋体"/>
        </w:rPr>
        <w:t>GB/T 26125</w:t>
      </w:r>
      <w:r>
        <w:rPr>
          <w:rFonts w:hint="eastAsia" w:ascii="宋体" w:hAnsi="宋体"/>
        </w:rPr>
        <w:t xml:space="preserve"> 电子电气产品</w:t>
      </w:r>
      <w:r>
        <w:rPr>
          <w:rFonts w:ascii="宋体" w:hAnsi="宋体"/>
        </w:rPr>
        <w:t xml:space="preserve"> </w:t>
      </w:r>
      <w:r>
        <w:rPr>
          <w:rFonts w:hint="eastAsia" w:ascii="宋体" w:hAnsi="宋体"/>
        </w:rPr>
        <w:t>六种限用物质（铅、汞、镉、六价铬、多溴联苯和多溴二苯醚）的测定</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 xml:space="preserve">GB/T 26572 </w:t>
      </w:r>
      <w:r>
        <w:rPr>
          <w:rFonts w:hint="eastAsia" w:ascii="宋体" w:hAnsi="宋体"/>
        </w:rPr>
        <w:t>电子电气产品中限用物质的限量要求</w:t>
      </w:r>
    </w:p>
    <w:p>
      <w:pPr>
        <w:keepNext w:val="0"/>
        <w:keepLines w:val="0"/>
        <w:pageBreakBefore w:val="0"/>
        <w:widowControl/>
        <w:kinsoku/>
        <w:wordWrap/>
        <w:overflowPunct/>
        <w:topLinePunct w:val="0"/>
        <w:bidi w:val="0"/>
        <w:snapToGrid/>
        <w:spacing w:line="240" w:lineRule="auto"/>
        <w:ind w:left="420"/>
        <w:textAlignment w:val="auto"/>
        <w:rPr>
          <w:rFonts w:ascii="宋体" w:hAnsi="宋体"/>
        </w:rPr>
      </w:pPr>
      <w:r>
        <w:rPr>
          <w:rFonts w:ascii="宋体" w:hAnsi="宋体"/>
        </w:rPr>
        <w:t>JB/T</w:t>
      </w:r>
      <w:r>
        <w:rPr>
          <w:rFonts w:hint="eastAsia" w:ascii="宋体" w:hAnsi="宋体"/>
        </w:rPr>
        <w:t xml:space="preserve"> </w:t>
      </w:r>
      <w:r>
        <w:rPr>
          <w:rFonts w:ascii="宋体" w:hAnsi="宋体"/>
        </w:rPr>
        <w:t>10359</w:t>
      </w:r>
      <w:r>
        <w:rPr>
          <w:rFonts w:hint="eastAsia" w:ascii="宋体" w:hAnsi="宋体"/>
        </w:rPr>
        <w:t>—</w:t>
      </w:r>
      <w:r>
        <w:rPr>
          <w:rFonts w:ascii="宋体" w:hAnsi="宋体"/>
        </w:rPr>
        <w:t>2013 空调器室外机用塑料</w:t>
      </w:r>
      <w:r>
        <w:rPr>
          <w:rFonts w:hint="eastAsia" w:ascii="宋体" w:hAnsi="宋体"/>
        </w:rPr>
        <w:t xml:space="preserve"> </w:t>
      </w:r>
      <w:r>
        <w:rPr>
          <w:rFonts w:ascii="宋体" w:hAnsi="宋体"/>
        </w:rPr>
        <w:t>环境技术要求</w:t>
      </w:r>
    </w:p>
    <w:p>
      <w:pPr>
        <w:pStyle w:val="56"/>
        <w:keepNext w:val="0"/>
        <w:keepLines w:val="0"/>
        <w:pageBreakBefore w:val="0"/>
        <w:widowControl/>
        <w:kinsoku/>
        <w:wordWrap/>
        <w:overflowPunct/>
        <w:topLinePunct w:val="0"/>
        <w:bidi w:val="0"/>
        <w:snapToGrid/>
        <w:spacing w:line="240" w:lineRule="auto"/>
        <w:ind w:firstLine="420"/>
        <w:textAlignment w:val="auto"/>
        <w:rPr>
          <w:rFonts w:hint="eastAsia" w:hAnsi="宋体"/>
        </w:rPr>
      </w:pPr>
      <w:r>
        <w:rPr>
          <w:rFonts w:hint="eastAsia" w:hAnsi="宋体"/>
          <w:szCs w:val="21"/>
        </w:rPr>
        <w:t>QB</w:t>
      </w:r>
      <w:r>
        <w:rPr>
          <w:rFonts w:hAnsi="宋体"/>
          <w:szCs w:val="21"/>
        </w:rPr>
        <w:t xml:space="preserve">/T </w:t>
      </w:r>
      <w:r>
        <w:rPr>
          <w:rFonts w:hint="eastAsia" w:hAnsi="宋体"/>
          <w:szCs w:val="21"/>
        </w:rPr>
        <w:t>5688—2022 家用除湿机</w:t>
      </w:r>
      <w:bookmarkEnd w:id="38"/>
    </w:p>
    <w:p>
      <w:pPr>
        <w:pStyle w:val="104"/>
        <w:spacing w:before="240" w:after="240"/>
      </w:pPr>
      <w:bookmarkStart w:id="41" w:name="_Toc97192966"/>
      <w:r>
        <w:rPr>
          <w:rFonts w:hint="eastAsia"/>
          <w:szCs w:val="21"/>
        </w:rPr>
        <w:t>术语和定义</w:t>
      </w:r>
      <w:bookmarkEnd w:id="41"/>
    </w:p>
    <w:sdt>
      <w:sdtPr>
        <w:id w:val="-1909835108"/>
        <w:placeholder>
          <w:docPart w:val="642D42A3EFF643FC924F06BCE2FC644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rPr>
              <w:rFonts w:hint="eastAsia"/>
            </w:rPr>
          </w:pPr>
          <w:bookmarkStart w:id="42" w:name="_Toc26986532"/>
          <w:bookmarkEnd w:id="42"/>
          <w:r>
            <w:rPr>
              <w:rFonts w:hint="eastAsia"/>
            </w:rPr>
            <w:t>GB/T 19411—2024、QB/T 5688—2022</w:t>
          </w:r>
          <w:r>
            <w:t>界定的术语和定义适用于本文件。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除湿机 dehumidifier</w:t>
      </w:r>
    </w:p>
    <w:p>
      <w:pPr>
        <w:keepNext w:val="0"/>
        <w:keepLines w:val="0"/>
        <w:pageBreakBefore w:val="0"/>
        <w:widowControl w:val="0"/>
        <w:kinsoku/>
        <w:wordWrap/>
        <w:overflowPunct/>
        <w:topLinePunct w:val="0"/>
        <w:autoSpaceDE/>
        <w:autoSpaceDN/>
        <w:bidi w:val="0"/>
        <w:adjustRightInd w:val="0"/>
        <w:snapToGrid/>
        <w:spacing w:line="240" w:lineRule="auto"/>
        <w:ind w:firstLine="420"/>
        <w:textAlignment w:val="auto"/>
        <w:rPr>
          <w:rFonts w:hint="eastAsia" w:ascii="宋体" w:hAnsi="宋体" w:eastAsia="宋体" w:cs="宋体"/>
        </w:rPr>
      </w:pPr>
      <w:r>
        <w:rPr>
          <w:rFonts w:hint="eastAsia" w:ascii="宋体" w:hAnsi="宋体" w:eastAsia="宋体" w:cs="宋体"/>
        </w:rPr>
        <w:t>除去空气中水分或降低空气含湿量的装置。</w:t>
      </w:r>
    </w:p>
    <w:p>
      <w:pPr>
        <w:keepNext w:val="0"/>
        <w:keepLines w:val="0"/>
        <w:pageBreakBefore w:val="0"/>
        <w:widowControl w:val="0"/>
        <w:kinsoku/>
        <w:wordWrap/>
        <w:overflowPunct/>
        <w:topLinePunct w:val="0"/>
        <w:autoSpaceDE/>
        <w:autoSpaceDN/>
        <w:bidi w:val="0"/>
        <w:adjustRightInd w:val="0"/>
        <w:snapToGrid/>
        <w:spacing w:line="240" w:lineRule="auto"/>
        <w:ind w:firstLine="420"/>
        <w:textAlignment w:val="auto"/>
        <w:rPr>
          <w:rFonts w:hint="eastAsia" w:ascii="宋体" w:hAnsi="宋体" w:eastAsia="宋体" w:cs="宋体"/>
        </w:rPr>
      </w:pPr>
      <w:bookmarkStart w:id="43" w:name="OLE_LINK36"/>
      <w:bookmarkStart w:id="44" w:name="OLE_LINK5"/>
      <w:r>
        <w:rPr>
          <w:rFonts w:hint="eastAsia" w:ascii="宋体" w:hAnsi="宋体" w:eastAsia="宋体" w:cs="宋体"/>
        </w:rPr>
        <w:t>[来源：GB/T 19411—2024，3.1]</w:t>
      </w:r>
      <w:bookmarkEnd w:id="43"/>
    </w:p>
    <w:p>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家用除湿机 household dehumidifier</w:t>
      </w:r>
    </w:p>
    <w:p>
      <w:pPr>
        <w:keepNext w:val="0"/>
        <w:keepLines w:val="0"/>
        <w:pageBreakBefore w:val="0"/>
        <w:widowControl w:val="0"/>
        <w:kinsoku/>
        <w:wordWrap/>
        <w:overflowPunct/>
        <w:topLinePunct w:val="0"/>
        <w:autoSpaceDE/>
        <w:autoSpaceDN/>
        <w:bidi w:val="0"/>
        <w:adjustRightInd w:val="0"/>
        <w:snapToGrid/>
        <w:spacing w:line="240" w:lineRule="auto"/>
        <w:ind w:firstLine="420"/>
        <w:textAlignment w:val="auto"/>
        <w:rPr>
          <w:rFonts w:hint="eastAsia" w:ascii="宋体" w:hAnsi="宋体" w:eastAsia="宋体" w:cs="宋体"/>
        </w:rPr>
      </w:pPr>
      <w:r>
        <w:rPr>
          <w:rFonts w:hint="eastAsia" w:ascii="宋体" w:hAnsi="宋体" w:eastAsia="宋体" w:cs="宋体"/>
        </w:rPr>
        <w:t>按家用和类似用途的使用环境设计，由一个电动制冷系统和空气循环装置组成，包括一个排水装置用以收集、储存和/或处理冷凝水，用于从周围大气中除去水分的带外壳的器具。</w:t>
      </w:r>
    </w:p>
    <w:p>
      <w:pPr>
        <w:keepNext w:val="0"/>
        <w:keepLines w:val="0"/>
        <w:pageBreakBefore w:val="0"/>
        <w:widowControl w:val="0"/>
        <w:kinsoku/>
        <w:wordWrap/>
        <w:overflowPunct/>
        <w:topLinePunct w:val="0"/>
        <w:autoSpaceDE/>
        <w:autoSpaceDN/>
        <w:bidi w:val="0"/>
        <w:adjustRightInd w:val="0"/>
        <w:snapToGrid/>
        <w:spacing w:line="240" w:lineRule="auto"/>
        <w:ind w:firstLine="420"/>
        <w:textAlignment w:val="auto"/>
        <w:rPr>
          <w:rFonts w:hint="eastAsia" w:ascii="宋体" w:hAnsi="宋体" w:eastAsia="宋体" w:cs="宋体"/>
        </w:rPr>
      </w:pPr>
      <w:r>
        <w:rPr>
          <w:rFonts w:hint="eastAsia" w:ascii="宋体" w:hAnsi="宋体" w:eastAsia="宋体" w:cs="宋体"/>
        </w:rPr>
        <w:t>[来源：</w:t>
      </w:r>
      <w:bookmarkStart w:id="45" w:name="OLE_LINK37"/>
      <w:r>
        <w:rPr>
          <w:rFonts w:hint="eastAsia" w:ascii="宋体" w:hAnsi="宋体" w:eastAsia="宋体" w:cs="宋体"/>
        </w:rPr>
        <w:t>QB/T 5688—2022</w:t>
      </w:r>
      <w:bookmarkEnd w:id="45"/>
      <w:r>
        <w:rPr>
          <w:rFonts w:hint="eastAsia" w:ascii="宋体" w:hAnsi="宋体" w:eastAsia="宋体" w:cs="宋体"/>
        </w:rPr>
        <w:t>，3.1]</w:t>
      </w:r>
    </w:p>
    <w:bookmarkEnd w:id="44"/>
    <w:p>
      <w:pPr>
        <w:pStyle w:val="104"/>
        <w:spacing w:before="240" w:after="240"/>
      </w:pPr>
      <w:r>
        <w:rPr>
          <w:rFonts w:hint="eastAsia"/>
        </w:rPr>
        <w:t>型式和基本参数</w:t>
      </w:r>
    </w:p>
    <w:p>
      <w:pPr>
        <w:pStyle w:val="56"/>
        <w:ind w:firstLine="420"/>
      </w:pPr>
      <w:r>
        <w:rPr>
          <w:rFonts w:hint="eastAsia"/>
        </w:rPr>
        <w:t>按</w:t>
      </w:r>
      <w:r>
        <w:rPr>
          <w:rFonts w:hint="eastAsia"/>
          <w:szCs w:val="21"/>
        </w:rPr>
        <w:t>GB</w:t>
      </w:r>
      <w:r>
        <w:rPr>
          <w:szCs w:val="21"/>
        </w:rPr>
        <w:t xml:space="preserve">/T </w:t>
      </w:r>
      <w:r>
        <w:rPr>
          <w:rFonts w:hint="eastAsia"/>
          <w:szCs w:val="21"/>
        </w:rPr>
        <w:t>19411—2024中第4章的规定。</w:t>
      </w:r>
    </w:p>
    <w:p>
      <w:pPr>
        <w:pStyle w:val="104"/>
        <w:spacing w:before="240" w:after="240"/>
      </w:pPr>
      <w:r>
        <w:t>要求</w:t>
      </w:r>
    </w:p>
    <w:p>
      <w:pPr>
        <w:pStyle w:val="105"/>
        <w:spacing w:before="120" w:after="120"/>
      </w:pPr>
      <w:r>
        <w:rPr>
          <w:rFonts w:hint="eastAsia"/>
        </w:rPr>
        <w:t>一般要求</w:t>
      </w:r>
    </w:p>
    <w:p>
      <w:pPr>
        <w:pStyle w:val="165"/>
        <w:rPr>
          <w:rFonts w:hint="eastAsia"/>
        </w:rPr>
      </w:pPr>
      <w:r>
        <w:rPr>
          <w:rFonts w:hint="eastAsia"/>
        </w:rPr>
        <w:t>除湿机应符合本文件的规定,并按经规定程序批准的图样和技术文件(或按用户和制造商的协议)制造。</w:t>
      </w:r>
    </w:p>
    <w:p>
      <w:pPr>
        <w:pStyle w:val="165"/>
        <w:rPr>
          <w:rFonts w:hint="eastAsia"/>
        </w:rPr>
      </w:pPr>
      <w:r>
        <w:rPr>
          <w:rFonts w:hint="eastAsia"/>
        </w:rPr>
        <w:t>除湿机的制冷系统应符合GB/T 9237的规定。</w:t>
      </w:r>
    </w:p>
    <w:p>
      <w:pPr>
        <w:pStyle w:val="165"/>
        <w:rPr>
          <w:rFonts w:hint="eastAsia"/>
        </w:rPr>
      </w:pPr>
      <w:r>
        <w:rPr>
          <w:rFonts w:hint="eastAsia"/>
        </w:rPr>
        <w:t>除湿机各零部件的安装应牢固可靠，管路与零部件不应有相互摩擦和碰撞。</w:t>
      </w:r>
    </w:p>
    <w:p>
      <w:pPr>
        <w:pStyle w:val="165"/>
        <w:rPr>
          <w:rFonts w:hint="eastAsia"/>
        </w:rPr>
      </w:pPr>
      <w:r>
        <w:rPr>
          <w:rFonts w:hint="eastAsia"/>
        </w:rPr>
        <w:t>除湿机宜采用利于回收再利用的材料、部件和结构设计。</w:t>
      </w:r>
    </w:p>
    <w:p>
      <w:pPr>
        <w:pStyle w:val="165"/>
        <w:rPr>
          <w:rFonts w:hint="eastAsia"/>
        </w:rPr>
      </w:pPr>
      <w:r>
        <w:rPr>
          <w:rFonts w:hint="eastAsia"/>
        </w:rPr>
        <w:t>除湿机所使用的保温隔热材料应无毒、无异味，且具有良好的隔热性能，机组正常运行期间隔热层不应有凝露产生。</w:t>
      </w:r>
    </w:p>
    <w:p>
      <w:pPr>
        <w:pStyle w:val="165"/>
        <w:rPr>
          <w:rFonts w:hint="eastAsia"/>
        </w:rPr>
      </w:pPr>
      <w:r>
        <w:rPr>
          <w:rFonts w:hint="eastAsia"/>
        </w:rPr>
        <w:t>除湿机所使用的保温隔热材料及非金属电控盒应采用阻燃或不燃材料。</w:t>
      </w:r>
    </w:p>
    <w:p>
      <w:pPr>
        <w:pStyle w:val="165"/>
        <w:rPr>
          <w:rFonts w:hint="eastAsia"/>
        </w:rPr>
      </w:pPr>
      <w:r>
        <w:rPr>
          <w:rFonts w:hint="eastAsia"/>
        </w:rPr>
        <w:t>带有水满保护装置的除湿机，水满保护装置应动作可靠。</w:t>
      </w:r>
    </w:p>
    <w:p>
      <w:pPr>
        <w:pStyle w:val="105"/>
        <w:spacing w:before="120" w:after="120"/>
      </w:pPr>
      <w:r>
        <w:rPr>
          <w:rFonts w:hint="eastAsia"/>
        </w:rPr>
        <w:t>外观</w:t>
      </w:r>
    </w:p>
    <w:p>
      <w:pPr>
        <w:pStyle w:val="165"/>
        <w:rPr>
          <w:rFonts w:hint="eastAsia"/>
        </w:rPr>
      </w:pPr>
      <w:r>
        <w:rPr>
          <w:rFonts w:hint="eastAsia"/>
        </w:rPr>
        <w:t>黑色金属制件应经过防锈蚀处理。</w:t>
      </w:r>
    </w:p>
    <w:p>
      <w:pPr>
        <w:pStyle w:val="165"/>
        <w:rPr>
          <w:rFonts w:hint="eastAsia"/>
        </w:rPr>
      </w:pPr>
      <w:r>
        <w:rPr>
          <w:rFonts w:hint="eastAsia"/>
        </w:rPr>
        <w:t>电镀件表面应光滑，色泽均匀，不应有剥落、露底、针孔、明显的花斑和划伤等缺陷。</w:t>
      </w:r>
    </w:p>
    <w:p>
      <w:pPr>
        <w:pStyle w:val="165"/>
        <w:rPr>
          <w:rFonts w:hint="eastAsia"/>
        </w:rPr>
      </w:pPr>
      <w:r>
        <w:rPr>
          <w:rFonts w:hint="eastAsia"/>
        </w:rPr>
        <w:t>涂装件表面应平整，涂布及色泽均匀，不应有明显的气泡、流痕、皱纹等瑕疵或损伤，也不应有漏涂、底漆外露等情况。</w:t>
      </w:r>
    </w:p>
    <w:p>
      <w:pPr>
        <w:pStyle w:val="165"/>
        <w:rPr>
          <w:rFonts w:hint="eastAsia"/>
        </w:rPr>
      </w:pPr>
      <w:r>
        <w:rPr>
          <w:rFonts w:hint="eastAsia"/>
        </w:rPr>
        <w:t>装饰性塑料件表面应平整光滑、色泽均匀，不应有裂痕、气泡和明显缩孔等缺陷。</w:t>
      </w:r>
    </w:p>
    <w:p>
      <w:pPr>
        <w:pStyle w:val="105"/>
        <w:spacing w:before="120" w:after="120"/>
      </w:pPr>
      <w:bookmarkStart w:id="46" w:name="OLE_LINK16"/>
      <w:r>
        <w:rPr>
          <w:rFonts w:hint="eastAsia"/>
        </w:rPr>
        <w:t>有害物质含量</w:t>
      </w:r>
      <w:bookmarkEnd w:id="46"/>
    </w:p>
    <w:p>
      <w:pPr>
        <w:pStyle w:val="165"/>
        <w:numPr>
          <w:ilvl w:val="2"/>
          <w:numId w:val="0"/>
        </w:numPr>
        <w:ind w:firstLine="420" w:firstLineChars="200"/>
        <w:rPr>
          <w:rFonts w:hint="eastAsia"/>
          <w:sz w:val="19"/>
        </w:rPr>
      </w:pPr>
      <w:bookmarkStart w:id="47" w:name="OLE_LINK18"/>
      <w:r>
        <w:rPr>
          <w:rFonts w:hint="eastAsia"/>
        </w:rPr>
        <w:t>除湿机的有害物质含量应符合GB/T 26572的规定。</w:t>
      </w:r>
    </w:p>
    <w:p>
      <w:pPr>
        <w:pStyle w:val="242"/>
        <w:numPr>
          <w:ilvl w:val="0"/>
          <w:numId w:val="26"/>
        </w:numPr>
      </w:pPr>
      <w:r>
        <w:t>政府部门予以豁免的项目例外。</w:t>
      </w:r>
      <w:bookmarkEnd w:id="47"/>
    </w:p>
    <w:p>
      <w:pPr>
        <w:pStyle w:val="105"/>
        <w:spacing w:before="120" w:after="120"/>
      </w:pPr>
      <w:r>
        <w:rPr>
          <w:rFonts w:hint="eastAsia"/>
        </w:rPr>
        <w:t>试运转</w:t>
      </w:r>
    </w:p>
    <w:p>
      <w:pPr>
        <w:pStyle w:val="165"/>
        <w:rPr>
          <w:rFonts w:hint="eastAsia"/>
        </w:rPr>
      </w:pPr>
      <w:r>
        <w:rPr>
          <w:rFonts w:hint="eastAsia"/>
        </w:rPr>
        <w:t>除湿机试运转过程中应无异常，安全保护装置不应动作。</w:t>
      </w:r>
    </w:p>
    <w:p>
      <w:pPr>
        <w:pStyle w:val="165"/>
        <w:rPr>
          <w:rFonts w:hint="eastAsia"/>
        </w:rPr>
      </w:pPr>
      <w:r>
        <w:rPr>
          <w:rFonts w:hint="eastAsia"/>
        </w:rPr>
        <w:t>除湿机温湿度控制系统的显示和动作应正确，各安全保护装置的动作应灵敏、可靠。</w:t>
      </w:r>
    </w:p>
    <w:p>
      <w:pPr>
        <w:pStyle w:val="105"/>
        <w:spacing w:before="120" w:after="120"/>
      </w:pPr>
      <w:r>
        <w:rPr>
          <w:rFonts w:hint="eastAsia"/>
        </w:rPr>
        <w:t>制冷系统密封性能</w:t>
      </w:r>
    </w:p>
    <w:p>
      <w:pPr>
        <w:pStyle w:val="13"/>
        <w:spacing w:before="167" w:line="240" w:lineRule="auto"/>
        <w:ind w:firstLine="420" w:firstLineChars="200"/>
        <w:rPr>
          <w:rFonts w:hAnsi="Times New Roman" w:cstheme="minorBidi"/>
          <w:szCs w:val="20"/>
        </w:rPr>
      </w:pPr>
      <w:r>
        <w:rPr>
          <w:rFonts w:hint="eastAsia" w:ascii="宋体" w:hAnsi="Times New Roman" w:cstheme="minorBidi"/>
          <w:szCs w:val="20"/>
        </w:rPr>
        <w:t>除湿机的制冷系统应具有良好的密封性</w:t>
      </w:r>
      <w:r>
        <w:rPr>
          <w:rFonts w:hint="eastAsia" w:hAnsi="Times New Roman" w:cstheme="minorBidi"/>
          <w:szCs w:val="20"/>
        </w:rPr>
        <w:t>。</w:t>
      </w:r>
      <w:r>
        <w:rPr>
          <w:rFonts w:hint="eastAsia" w:ascii="宋体" w:hAnsi="Times New Roman" w:cstheme="minorBidi"/>
          <w:szCs w:val="20"/>
        </w:rPr>
        <w:t>进行</w:t>
      </w:r>
      <w:r>
        <w:rPr>
          <w:rFonts w:hint="eastAsia" w:hAnsi="Times New Roman" w:cstheme="minorBidi"/>
          <w:szCs w:val="20"/>
        </w:rPr>
        <w:t>密封性能</w:t>
      </w:r>
      <w:r>
        <w:rPr>
          <w:rFonts w:hint="eastAsia" w:ascii="宋体" w:hAnsi="Times New Roman" w:cstheme="minorBidi"/>
          <w:szCs w:val="20"/>
        </w:rPr>
        <w:t>试验时</w:t>
      </w:r>
      <w:r>
        <w:rPr>
          <w:rFonts w:hint="eastAsia" w:hAnsi="Times New Roman" w:cstheme="minorBidi"/>
          <w:szCs w:val="20"/>
        </w:rPr>
        <w:t>，</w:t>
      </w:r>
      <w:r>
        <w:rPr>
          <w:rFonts w:hint="eastAsia" w:ascii="宋体" w:hAnsi="Times New Roman" w:cstheme="minorBidi"/>
          <w:szCs w:val="20"/>
        </w:rPr>
        <w:t>制冷系统各部分不应</w:t>
      </w:r>
      <w:r>
        <w:rPr>
          <w:rFonts w:hint="eastAsia" w:hAnsi="Times New Roman" w:cstheme="minorBidi"/>
          <w:szCs w:val="20"/>
        </w:rPr>
        <w:t>出现</w:t>
      </w:r>
      <w:r>
        <w:rPr>
          <w:rFonts w:hint="eastAsia" w:ascii="宋体" w:hAnsi="Times New Roman" w:cstheme="minorBidi"/>
          <w:szCs w:val="20"/>
        </w:rPr>
        <w:t>泄漏。</w:t>
      </w:r>
    </w:p>
    <w:p>
      <w:pPr>
        <w:pStyle w:val="105"/>
        <w:spacing w:before="120" w:after="120"/>
      </w:pPr>
      <w:r>
        <w:rPr>
          <w:rFonts w:hint="eastAsia"/>
        </w:rPr>
        <w:t>名义工况除湿性能</w:t>
      </w:r>
    </w:p>
    <w:p>
      <w:pPr>
        <w:pStyle w:val="13"/>
        <w:spacing w:before="167" w:line="240" w:lineRule="auto"/>
        <w:ind w:firstLine="420" w:firstLineChars="200"/>
        <w:rPr>
          <w:rFonts w:hAnsi="Times New Roman" w:cstheme="minorBidi"/>
          <w:szCs w:val="20"/>
        </w:rPr>
      </w:pPr>
      <w:r>
        <w:rPr>
          <w:rFonts w:hint="eastAsia" w:ascii="宋体" w:hAnsi="宋体" w:eastAsia="宋体" w:cs="宋体"/>
          <w:szCs w:val="20"/>
        </w:rPr>
        <w:t>在第4章规定</w:t>
      </w:r>
      <w:r>
        <w:rPr>
          <w:rFonts w:hint="eastAsia" w:ascii="宋体" w:hAnsi="Times New Roman" w:cstheme="minorBidi"/>
          <w:szCs w:val="20"/>
        </w:rPr>
        <w:t>的名义工况下</w:t>
      </w:r>
      <w:r>
        <w:rPr>
          <w:rFonts w:hint="eastAsia" w:hAnsi="Times New Roman" w:cstheme="minorBidi"/>
          <w:szCs w:val="20"/>
        </w:rPr>
        <w:t>，</w:t>
      </w:r>
      <w:r>
        <w:rPr>
          <w:rFonts w:hint="eastAsia" w:ascii="宋体" w:hAnsi="Times New Roman" w:cstheme="minorBidi"/>
          <w:szCs w:val="20"/>
        </w:rPr>
        <w:t>按GB/T 19411—2024中附录A规定的方法进行试验</w:t>
      </w:r>
      <w:r>
        <w:rPr>
          <w:rFonts w:hint="eastAsia" w:hAnsi="Times New Roman" w:cstheme="minorBidi"/>
          <w:szCs w:val="20"/>
        </w:rPr>
        <w:t>，</w:t>
      </w:r>
      <w:r>
        <w:rPr>
          <w:rFonts w:hint="eastAsia" w:ascii="宋体" w:hAnsi="Times New Roman" w:cstheme="minorBidi"/>
          <w:szCs w:val="20"/>
        </w:rPr>
        <w:t>名义工况除湿性能满足以下要求</w:t>
      </w:r>
      <w:r>
        <w:rPr>
          <w:rFonts w:hint="eastAsia" w:hAnsi="Times New Roman" w:cstheme="minorBidi"/>
          <w:szCs w:val="20"/>
        </w:rPr>
        <w:t>：</w:t>
      </w:r>
    </w:p>
    <w:p>
      <w:pPr>
        <w:pStyle w:val="239"/>
        <w:numPr>
          <w:ilvl w:val="0"/>
          <w:numId w:val="32"/>
        </w:numPr>
        <w:jc w:val="left"/>
        <w:rPr>
          <w:szCs w:val="21"/>
        </w:rPr>
      </w:pPr>
      <w:r>
        <w:rPr>
          <w:rFonts w:hint="eastAsia"/>
          <w:szCs w:val="21"/>
        </w:rPr>
        <w:t>除湿机实测的名义除湿量不应小于明示值的95%；</w:t>
      </w:r>
    </w:p>
    <w:p>
      <w:pPr>
        <w:pStyle w:val="239"/>
        <w:numPr>
          <w:ilvl w:val="0"/>
          <w:numId w:val="32"/>
        </w:numPr>
        <w:jc w:val="left"/>
        <w:rPr>
          <w:szCs w:val="21"/>
        </w:rPr>
      </w:pPr>
      <w:r>
        <w:rPr>
          <w:rFonts w:hint="eastAsia"/>
          <w:szCs w:val="21"/>
        </w:rPr>
        <w:t>除湿机实测的名义除湿消耗功率不应大于明示值的110%；</w:t>
      </w:r>
    </w:p>
    <w:p>
      <w:pPr>
        <w:pStyle w:val="239"/>
        <w:numPr>
          <w:ilvl w:val="0"/>
          <w:numId w:val="32"/>
        </w:numPr>
        <w:jc w:val="left"/>
        <w:rPr>
          <w:szCs w:val="21"/>
        </w:rPr>
      </w:pPr>
      <w:r>
        <w:rPr>
          <w:rFonts w:hint="eastAsia"/>
          <w:szCs w:val="21"/>
        </w:rPr>
        <w:t>除湿机实测的单位消耗功率除湿量不应小于明示值的95%，且不小于表1规定的限值。</w:t>
      </w:r>
    </w:p>
    <w:p>
      <w:pPr>
        <w:pStyle w:val="112"/>
        <w:spacing w:before="120" w:after="120"/>
        <w:rPr>
          <w:rFonts w:hint="eastAsia"/>
        </w:rPr>
      </w:pPr>
      <w:bookmarkStart w:id="48" w:name="OLE_LINK11"/>
      <w:r>
        <w:rPr>
          <w:rFonts w:hint="eastAsia"/>
        </w:rPr>
        <w:t>单位消耗功率除湿量限值</w:t>
      </w:r>
      <w:bookmarkEnd w:id="48"/>
    </w:p>
    <w:tbl>
      <w:tblPr>
        <w:tblStyle w:val="27"/>
        <w:tblW w:w="94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4"/>
        <w:gridCol w:w="5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4" w:type="dxa"/>
            <w:vAlign w:val="center"/>
          </w:tcPr>
          <w:p>
            <w:pPr>
              <w:pStyle w:val="241"/>
              <w:spacing w:before="0"/>
              <w:ind w:right="139"/>
              <w:jc w:val="center"/>
              <w:rPr>
                <w:rFonts w:hint="eastAsia" w:hAnsi="宋体" w:cs="宋体"/>
                <w:sz w:val="18"/>
                <w:szCs w:val="18"/>
              </w:rPr>
            </w:pPr>
            <w:bookmarkStart w:id="49" w:name="OLE_LINK23" w:colFirst="0" w:colLast="1"/>
            <w:r>
              <w:rPr>
                <w:rFonts w:hint="eastAsia" w:hAnsi="宋体" w:cs="宋体"/>
                <w:sz w:val="18"/>
                <w:szCs w:val="18"/>
              </w:rPr>
              <w:t>名义除湿量</w:t>
            </w:r>
            <w:r>
              <w:rPr>
                <w:rFonts w:hint="eastAsia" w:hAnsi="宋体" w:cs="宋体"/>
                <w:i/>
                <w:iCs/>
                <w:sz w:val="18"/>
                <w:szCs w:val="18"/>
              </w:rPr>
              <w:t>DCR</w:t>
            </w:r>
            <w:r>
              <w:rPr>
                <w:rFonts w:hint="eastAsia" w:hAnsi="宋体" w:cs="宋体"/>
                <w:sz w:val="18"/>
                <w:szCs w:val="18"/>
              </w:rPr>
              <w:t>，kg/h</w:t>
            </w:r>
          </w:p>
        </w:tc>
        <w:tc>
          <w:tcPr>
            <w:tcW w:w="5630" w:type="dxa"/>
            <w:vAlign w:val="center"/>
          </w:tcPr>
          <w:p>
            <w:pPr>
              <w:pStyle w:val="241"/>
              <w:spacing w:before="0"/>
              <w:ind w:right="139"/>
              <w:jc w:val="center"/>
              <w:rPr>
                <w:rFonts w:hint="eastAsia" w:hAnsi="宋体" w:cs="宋体"/>
                <w:sz w:val="18"/>
                <w:szCs w:val="18"/>
              </w:rPr>
            </w:pPr>
            <w:r>
              <w:rPr>
                <w:rFonts w:hint="eastAsia" w:hAnsi="宋体" w:cs="宋体"/>
                <w:sz w:val="18"/>
                <w:szCs w:val="18"/>
              </w:rPr>
              <w:t>单位消耗功率除湿量限值，kg/(kW·h)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4" w:type="dxa"/>
            <w:vAlign w:val="center"/>
          </w:tcPr>
          <w:p>
            <w:pPr>
              <w:pStyle w:val="241"/>
              <w:spacing w:before="0"/>
              <w:ind w:right="139"/>
              <w:jc w:val="center"/>
              <w:rPr>
                <w:rFonts w:hint="eastAsia" w:hAnsi="宋体" w:cs="宋体"/>
                <w:sz w:val="18"/>
                <w:szCs w:val="18"/>
              </w:rPr>
            </w:pPr>
            <w:r>
              <w:rPr>
                <w:rFonts w:hint="eastAsia" w:hAnsi="宋体" w:cs="宋体"/>
                <w:i/>
                <w:iCs/>
                <w:sz w:val="18"/>
                <w:szCs w:val="18"/>
              </w:rPr>
              <w:t>DCR</w:t>
            </w:r>
            <w:r>
              <w:rPr>
                <w:rFonts w:hint="eastAsia" w:hAnsi="宋体" w:cs="宋体"/>
                <w:sz w:val="18"/>
                <w:szCs w:val="18"/>
              </w:rPr>
              <w:t>≤0.50</w:t>
            </w:r>
          </w:p>
        </w:tc>
        <w:tc>
          <w:tcPr>
            <w:tcW w:w="5630" w:type="dxa"/>
          </w:tcPr>
          <w:p>
            <w:pPr>
              <w:pStyle w:val="241"/>
              <w:tabs>
                <w:tab w:val="left" w:pos="850"/>
              </w:tabs>
              <w:spacing w:before="52"/>
              <w:ind w:left="179" w:right="145"/>
              <w:jc w:val="center"/>
              <w:rPr>
                <w:rFonts w:hint="default" w:hAnsi="宋体" w:eastAsia="宋体" w:cs="宋体"/>
                <w:color w:val="FF0000"/>
                <w:sz w:val="18"/>
                <w:szCs w:val="18"/>
                <w:lang w:val="en-US" w:eastAsia="zh-CN"/>
              </w:rPr>
            </w:pPr>
            <w:r>
              <w:rPr>
                <w:rFonts w:hint="eastAsia"/>
                <w:color w:val="FF0000"/>
                <w:spacing w:val="-4"/>
                <w:sz w:val="18"/>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4" w:type="dxa"/>
            <w:vAlign w:val="center"/>
          </w:tcPr>
          <w:p>
            <w:pPr>
              <w:pStyle w:val="241"/>
              <w:spacing w:before="0"/>
              <w:ind w:right="139"/>
              <w:jc w:val="center"/>
              <w:rPr>
                <w:rFonts w:hint="eastAsia" w:hAnsi="宋体" w:cs="宋体"/>
                <w:sz w:val="18"/>
                <w:szCs w:val="18"/>
              </w:rPr>
            </w:pPr>
            <w:r>
              <w:rPr>
                <w:rFonts w:hint="eastAsia" w:hAnsi="宋体" w:cs="宋体"/>
                <w:sz w:val="18"/>
                <w:szCs w:val="18"/>
              </w:rPr>
              <w:t>0.50&lt;</w:t>
            </w:r>
            <w:r>
              <w:rPr>
                <w:rFonts w:hint="eastAsia" w:hAnsi="宋体" w:cs="宋体"/>
                <w:i/>
                <w:iCs/>
                <w:sz w:val="18"/>
                <w:szCs w:val="18"/>
              </w:rPr>
              <w:t>DCR</w:t>
            </w:r>
            <w:r>
              <w:rPr>
                <w:rFonts w:hint="eastAsia" w:hAnsi="宋体" w:cs="宋体"/>
                <w:sz w:val="18"/>
                <w:szCs w:val="18"/>
              </w:rPr>
              <w:t>≤1.00</w:t>
            </w:r>
          </w:p>
        </w:tc>
        <w:tc>
          <w:tcPr>
            <w:tcW w:w="5630" w:type="dxa"/>
          </w:tcPr>
          <w:p>
            <w:pPr>
              <w:pStyle w:val="241"/>
              <w:tabs>
                <w:tab w:val="left" w:pos="850"/>
              </w:tabs>
              <w:spacing w:before="45"/>
              <w:ind w:left="179" w:right="145"/>
              <w:jc w:val="center"/>
              <w:rPr>
                <w:rFonts w:hint="eastAsia" w:hAnsi="宋体" w:eastAsia="宋体" w:cs="宋体"/>
                <w:color w:val="FF0000"/>
                <w:sz w:val="18"/>
                <w:szCs w:val="18"/>
                <w:lang w:eastAsia="zh-CN"/>
              </w:rPr>
            </w:pPr>
            <w:r>
              <w:rPr>
                <w:rFonts w:hint="eastAsia"/>
                <w:color w:val="FF0000"/>
                <w:spacing w:val="-4"/>
                <w:sz w:val="18"/>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4" w:type="dxa"/>
            <w:vAlign w:val="center"/>
          </w:tcPr>
          <w:p>
            <w:pPr>
              <w:pStyle w:val="241"/>
              <w:spacing w:before="0"/>
              <w:ind w:right="139"/>
              <w:jc w:val="center"/>
              <w:rPr>
                <w:rFonts w:hint="eastAsia" w:hAnsi="宋体" w:cs="宋体"/>
                <w:sz w:val="18"/>
                <w:szCs w:val="18"/>
              </w:rPr>
            </w:pPr>
            <w:r>
              <w:rPr>
                <w:rFonts w:hint="eastAsia" w:hAnsi="宋体" w:cs="宋体"/>
                <w:sz w:val="18"/>
                <w:szCs w:val="18"/>
              </w:rPr>
              <w:t>1.00&lt;</w:t>
            </w:r>
            <w:r>
              <w:rPr>
                <w:rFonts w:hint="eastAsia" w:hAnsi="宋体" w:cs="宋体"/>
                <w:i/>
                <w:iCs/>
                <w:sz w:val="18"/>
                <w:szCs w:val="18"/>
              </w:rPr>
              <w:t>DCR</w:t>
            </w:r>
            <w:r>
              <w:rPr>
                <w:rFonts w:hint="eastAsia" w:hAnsi="宋体" w:cs="宋体"/>
                <w:sz w:val="18"/>
                <w:szCs w:val="18"/>
              </w:rPr>
              <w:t>≤2.00</w:t>
            </w:r>
          </w:p>
        </w:tc>
        <w:tc>
          <w:tcPr>
            <w:tcW w:w="5630" w:type="dxa"/>
          </w:tcPr>
          <w:p>
            <w:pPr>
              <w:pStyle w:val="241"/>
              <w:tabs>
                <w:tab w:val="left" w:pos="850"/>
              </w:tabs>
              <w:spacing w:before="42"/>
              <w:ind w:left="179" w:right="145"/>
              <w:jc w:val="center"/>
              <w:rPr>
                <w:rFonts w:hint="eastAsia" w:hAnsi="宋体" w:eastAsia="宋体" w:cs="宋体"/>
                <w:color w:val="FF0000"/>
                <w:sz w:val="18"/>
                <w:szCs w:val="18"/>
                <w:lang w:eastAsia="zh-CN"/>
              </w:rPr>
            </w:pPr>
            <w:r>
              <w:rPr>
                <w:rFonts w:hint="eastAsia"/>
                <w:color w:val="FF0000"/>
                <w:spacing w:val="-4"/>
                <w:sz w:val="18"/>
                <w:lang w:val="en-US" w:eastAsia="zh-CN"/>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4" w:type="dxa"/>
            <w:vAlign w:val="center"/>
          </w:tcPr>
          <w:p>
            <w:pPr>
              <w:pStyle w:val="241"/>
              <w:spacing w:before="0"/>
              <w:ind w:right="139"/>
              <w:jc w:val="center"/>
              <w:rPr>
                <w:rFonts w:hint="eastAsia" w:hAnsi="宋体" w:cs="宋体"/>
                <w:sz w:val="18"/>
                <w:szCs w:val="18"/>
              </w:rPr>
            </w:pPr>
            <w:r>
              <w:rPr>
                <w:rFonts w:hint="eastAsia" w:hAnsi="宋体" w:cs="宋体"/>
                <w:sz w:val="18"/>
                <w:szCs w:val="18"/>
              </w:rPr>
              <w:t>2.00&lt;</w:t>
            </w:r>
            <w:r>
              <w:rPr>
                <w:rFonts w:hint="eastAsia" w:hAnsi="宋体" w:cs="宋体"/>
                <w:i/>
                <w:iCs/>
                <w:sz w:val="18"/>
                <w:szCs w:val="18"/>
              </w:rPr>
              <w:t>DCR</w:t>
            </w:r>
            <w:r>
              <w:rPr>
                <w:rFonts w:hint="eastAsia" w:hAnsi="宋体" w:cs="宋体"/>
                <w:sz w:val="18"/>
                <w:szCs w:val="18"/>
              </w:rPr>
              <w:t>≤2.50</w:t>
            </w:r>
          </w:p>
        </w:tc>
        <w:tc>
          <w:tcPr>
            <w:tcW w:w="5630" w:type="dxa"/>
          </w:tcPr>
          <w:p>
            <w:pPr>
              <w:pStyle w:val="241"/>
              <w:tabs>
                <w:tab w:val="left" w:pos="850"/>
              </w:tabs>
              <w:spacing w:before="42"/>
              <w:ind w:left="179" w:right="145"/>
              <w:jc w:val="center"/>
              <w:rPr>
                <w:rFonts w:hint="default" w:hAnsi="宋体" w:eastAsia="宋体" w:cs="宋体"/>
                <w:color w:val="FF0000"/>
                <w:sz w:val="18"/>
                <w:szCs w:val="18"/>
                <w:lang w:val="en-US" w:eastAsia="zh-CN"/>
              </w:rPr>
            </w:pPr>
            <w:r>
              <w:rPr>
                <w:rFonts w:hint="eastAsia"/>
                <w:color w:val="FF0000"/>
                <w:spacing w:val="-4"/>
                <w:sz w:val="18"/>
                <w:lang w:val="en-US" w:eastAsia="zh-CN"/>
              </w:rPr>
              <w:t>2.10</w:t>
            </w:r>
          </w:p>
        </w:tc>
      </w:tr>
      <w:bookmarkEnd w:id="49"/>
    </w:tbl>
    <w:p>
      <w:pPr>
        <w:pStyle w:val="105"/>
        <w:spacing w:before="120" w:after="120"/>
        <w:rPr>
          <w:rFonts w:hint="eastAsia"/>
        </w:rPr>
      </w:pPr>
      <w:r>
        <w:rPr>
          <w:rFonts w:hint="eastAsia"/>
        </w:rPr>
        <w:t>高温工况除湿性能</w:t>
      </w:r>
    </w:p>
    <w:p>
      <w:pPr>
        <w:pStyle w:val="165"/>
        <w:rPr>
          <w:rFonts w:hint="eastAsia"/>
        </w:rPr>
      </w:pPr>
      <w:r>
        <w:rPr>
          <w:rFonts w:hint="eastAsia"/>
        </w:rPr>
        <w:t>除湿机高温工况实测的高温除湿量不应小于明示值的95%。</w:t>
      </w:r>
    </w:p>
    <w:p>
      <w:pPr>
        <w:pStyle w:val="165"/>
        <w:rPr>
          <w:rFonts w:hint="eastAsia"/>
        </w:rPr>
      </w:pPr>
      <w:r>
        <w:rPr>
          <w:rFonts w:hint="eastAsia"/>
        </w:rPr>
        <w:t>除湿机高温工况实测的高温除湿消耗功率不应大于明示值的110%。</w:t>
      </w:r>
    </w:p>
    <w:p>
      <w:pPr>
        <w:pStyle w:val="105"/>
        <w:spacing w:before="120" w:after="120"/>
        <w:rPr>
          <w:rFonts w:hint="eastAsia"/>
        </w:rPr>
      </w:pPr>
      <w:r>
        <w:rPr>
          <w:rFonts w:hint="eastAsia"/>
        </w:rPr>
        <w:t>最大负荷运行</w:t>
      </w:r>
    </w:p>
    <w:p>
      <w:pPr>
        <w:pStyle w:val="13"/>
        <w:spacing w:before="167" w:line="240" w:lineRule="auto"/>
        <w:ind w:firstLine="420" w:firstLineChars="200"/>
        <w:rPr>
          <w:rFonts w:hint="eastAsia" w:ascii="宋体" w:hAnsi="Times New Roman" w:cstheme="minorBidi"/>
          <w:szCs w:val="20"/>
        </w:rPr>
      </w:pPr>
      <w:r>
        <w:rPr>
          <w:rFonts w:hint="eastAsia" w:ascii="宋体" w:hAnsi="Times New Roman" w:cstheme="minorBidi"/>
          <w:szCs w:val="20"/>
        </w:rPr>
        <w:t>在最大负荷运行试验过程中，除湿机应满足以下要求：</w:t>
      </w:r>
    </w:p>
    <w:p>
      <w:pPr>
        <w:pStyle w:val="239"/>
        <w:numPr>
          <w:ilvl w:val="0"/>
          <w:numId w:val="33"/>
        </w:numPr>
        <w:jc w:val="left"/>
        <w:rPr>
          <w:szCs w:val="21"/>
        </w:rPr>
      </w:pPr>
      <w:r>
        <w:rPr>
          <w:rFonts w:hint="eastAsia"/>
          <w:szCs w:val="21"/>
        </w:rPr>
        <w:t>在前一个1 h内：除湿机的过载保护器不应跳开。</w:t>
      </w:r>
    </w:p>
    <w:p>
      <w:pPr>
        <w:pStyle w:val="239"/>
        <w:numPr>
          <w:ilvl w:val="0"/>
          <w:numId w:val="33"/>
        </w:numPr>
        <w:jc w:val="left"/>
        <w:rPr>
          <w:szCs w:val="21"/>
        </w:rPr>
      </w:pPr>
      <w:r>
        <w:rPr>
          <w:rFonts w:hint="eastAsia"/>
          <w:szCs w:val="21"/>
        </w:rPr>
        <w:t>在后一个1 h内：允许过载保护器在起动后的5 min内跳开，但复位后(自动复位的过载保护器应能在30 min内复位；手动复位的过载保护器应在10 min后强行复位)，除湿机应能再连续运行1 h。</w:t>
      </w:r>
    </w:p>
    <w:p>
      <w:pPr>
        <w:pStyle w:val="239"/>
        <w:numPr>
          <w:ilvl w:val="0"/>
          <w:numId w:val="33"/>
        </w:numPr>
        <w:jc w:val="left"/>
        <w:rPr>
          <w:sz w:val="19"/>
        </w:rPr>
      </w:pPr>
      <w:r>
        <w:rPr>
          <w:rFonts w:hint="eastAsia"/>
          <w:szCs w:val="21"/>
        </w:rPr>
        <w:t>除湿机运行正常且各部件无损坏。</w:t>
      </w:r>
    </w:p>
    <w:p>
      <w:pPr>
        <w:pStyle w:val="105"/>
        <w:spacing w:before="120" w:after="120"/>
        <w:rPr>
          <w:rFonts w:hint="eastAsia"/>
        </w:rPr>
      </w:pPr>
      <w:r>
        <w:rPr>
          <w:rFonts w:hint="eastAsia"/>
        </w:rPr>
        <w:t>低温除湿运行</w:t>
      </w:r>
    </w:p>
    <w:p>
      <w:pPr>
        <w:pStyle w:val="13"/>
        <w:spacing w:before="167" w:line="240" w:lineRule="auto"/>
        <w:ind w:firstLine="420" w:firstLineChars="200"/>
        <w:rPr>
          <w:rFonts w:hint="eastAsia" w:ascii="宋体" w:hAnsi="Times New Roman" w:cstheme="minorBidi"/>
          <w:szCs w:val="20"/>
        </w:rPr>
      </w:pPr>
      <w:r>
        <w:rPr>
          <w:rFonts w:hint="eastAsia" w:ascii="宋体" w:hAnsi="Times New Roman" w:cstheme="minorBidi"/>
          <w:szCs w:val="20"/>
        </w:rPr>
        <w:t>在低温除湿运行试验过程中，除湿机满足以下要求：</w:t>
      </w:r>
    </w:p>
    <w:p>
      <w:pPr>
        <w:pStyle w:val="239"/>
        <w:numPr>
          <w:ilvl w:val="0"/>
          <w:numId w:val="34"/>
        </w:numPr>
        <w:jc w:val="left"/>
        <w:rPr>
          <w:szCs w:val="21"/>
        </w:rPr>
      </w:pPr>
      <w:r>
        <w:rPr>
          <w:rFonts w:hint="eastAsia"/>
          <w:szCs w:val="21"/>
        </w:rPr>
        <w:t>出风口不应有水滴吹出，各部位也不应有渗水、漏水现象；</w:t>
      </w:r>
    </w:p>
    <w:p>
      <w:pPr>
        <w:pStyle w:val="239"/>
        <w:numPr>
          <w:ilvl w:val="0"/>
          <w:numId w:val="34"/>
        </w:numPr>
        <w:jc w:val="left"/>
        <w:rPr>
          <w:szCs w:val="21"/>
        </w:rPr>
      </w:pPr>
      <w:r>
        <w:rPr>
          <w:rFonts w:hint="eastAsia"/>
          <w:szCs w:val="21"/>
        </w:rPr>
        <w:t>温湿度传感器上不应有水珠或冰霜存在；</w:t>
      </w:r>
    </w:p>
    <w:p>
      <w:pPr>
        <w:pStyle w:val="239"/>
        <w:numPr>
          <w:ilvl w:val="0"/>
          <w:numId w:val="34"/>
        </w:numPr>
        <w:jc w:val="left"/>
        <w:rPr>
          <w:szCs w:val="21"/>
        </w:rPr>
      </w:pPr>
      <w:r>
        <w:rPr>
          <w:rFonts w:hint="eastAsia"/>
          <w:szCs w:val="21"/>
        </w:rPr>
        <w:t>运行结束时，蒸发器迎风面上不应有冰霜；</w:t>
      </w:r>
    </w:p>
    <w:p>
      <w:pPr>
        <w:pStyle w:val="239"/>
        <w:numPr>
          <w:ilvl w:val="0"/>
          <w:numId w:val="34"/>
        </w:numPr>
        <w:jc w:val="left"/>
        <w:rPr>
          <w:szCs w:val="21"/>
        </w:rPr>
      </w:pPr>
      <w:r>
        <w:rPr>
          <w:rFonts w:hint="eastAsia"/>
          <w:szCs w:val="21"/>
        </w:rPr>
        <w:t>具有自动融霜功能的除湿机，其融霜时间的总和不应超过整个试验时间的30%。</w:t>
      </w:r>
    </w:p>
    <w:p>
      <w:pPr>
        <w:pStyle w:val="105"/>
        <w:spacing w:before="120" w:after="120"/>
        <w:rPr>
          <w:rFonts w:hint="eastAsia"/>
        </w:rPr>
      </w:pPr>
      <w:r>
        <w:rPr>
          <w:rFonts w:hint="eastAsia"/>
        </w:rPr>
        <w:t>凝露和凝结水排除</w:t>
      </w:r>
    </w:p>
    <w:p>
      <w:pPr>
        <w:pStyle w:val="13"/>
        <w:spacing w:before="167" w:line="240" w:lineRule="auto"/>
        <w:ind w:firstLine="420" w:firstLineChars="200"/>
        <w:rPr>
          <w:rFonts w:hint="eastAsia" w:ascii="宋体" w:hAnsi="Times New Roman" w:cstheme="minorBidi"/>
          <w:szCs w:val="20"/>
        </w:rPr>
      </w:pPr>
      <w:r>
        <w:rPr>
          <w:rFonts w:hint="eastAsia" w:ascii="宋体" w:hAnsi="Times New Roman" w:cstheme="minorBidi"/>
          <w:szCs w:val="20"/>
        </w:rPr>
        <w:t>在凝露和凝结水排除试验过程中,除湿机满足以下要求：</w:t>
      </w:r>
    </w:p>
    <w:p>
      <w:pPr>
        <w:pStyle w:val="239"/>
        <w:numPr>
          <w:ilvl w:val="0"/>
          <w:numId w:val="35"/>
        </w:numPr>
        <w:jc w:val="left"/>
        <w:rPr>
          <w:szCs w:val="21"/>
        </w:rPr>
      </w:pPr>
      <w:r>
        <w:rPr>
          <w:rFonts w:hint="eastAsia"/>
          <w:szCs w:val="21"/>
        </w:rPr>
        <w:t>应具有排除凝结水的能力，排水口以外的任何部位不应有水溢出或吹出；</w:t>
      </w:r>
    </w:p>
    <w:p>
      <w:pPr>
        <w:pStyle w:val="239"/>
        <w:numPr>
          <w:ilvl w:val="0"/>
          <w:numId w:val="35"/>
        </w:numPr>
        <w:jc w:val="left"/>
        <w:rPr>
          <w:szCs w:val="21"/>
        </w:rPr>
      </w:pPr>
      <w:r>
        <w:rPr>
          <w:rFonts w:hint="eastAsia"/>
          <w:szCs w:val="21"/>
        </w:rPr>
        <w:t>除湿机外表面凝露不应滴下，室内送风不应带有水滴；</w:t>
      </w:r>
    </w:p>
    <w:p>
      <w:pPr>
        <w:pStyle w:val="239"/>
        <w:numPr>
          <w:ilvl w:val="0"/>
          <w:numId w:val="35"/>
        </w:numPr>
        <w:jc w:val="left"/>
        <w:rPr>
          <w:szCs w:val="21"/>
        </w:rPr>
      </w:pPr>
      <w:r>
        <w:rPr>
          <w:rFonts w:hint="eastAsia"/>
          <w:szCs w:val="21"/>
        </w:rPr>
        <w:t>带电部件不应有凝结水聚集。</w:t>
      </w:r>
    </w:p>
    <w:p>
      <w:pPr>
        <w:pStyle w:val="105"/>
        <w:spacing w:before="120" w:after="120"/>
        <w:rPr>
          <w:rFonts w:hint="eastAsia"/>
        </w:rPr>
      </w:pPr>
      <w:r>
        <w:rPr>
          <w:rFonts w:hint="eastAsia"/>
        </w:rPr>
        <w:t>溢水绝缘性能</w:t>
      </w:r>
    </w:p>
    <w:p>
      <w:pPr>
        <w:pStyle w:val="165"/>
        <w:numPr>
          <w:ilvl w:val="2"/>
          <w:numId w:val="0"/>
        </w:numPr>
        <w:ind w:firstLine="420" w:firstLineChars="200"/>
        <w:rPr>
          <w:rFonts w:hint="eastAsia"/>
        </w:rPr>
      </w:pPr>
      <w:r>
        <w:rPr>
          <w:rFonts w:hint="eastAsia"/>
        </w:rPr>
        <w:t>进行溢水绝缘性能试验后，除湿机的绝缘电阻不应小于</w:t>
      </w:r>
      <w:r>
        <w:rPr>
          <w:rFonts w:hint="eastAsia"/>
          <w:color w:val="auto"/>
        </w:rPr>
        <w:t>2 MΩ。</w:t>
      </w:r>
    </w:p>
    <w:p>
      <w:pPr>
        <w:pStyle w:val="105"/>
        <w:spacing w:before="120" w:after="120"/>
        <w:rPr>
          <w:rFonts w:hint="eastAsia"/>
        </w:rPr>
      </w:pPr>
      <w:r>
        <w:rPr>
          <w:rFonts w:hint="eastAsia"/>
        </w:rPr>
        <w:t>限制热交换</w:t>
      </w:r>
    </w:p>
    <w:p>
      <w:pPr>
        <w:pStyle w:val="56"/>
        <w:ind w:firstLine="420"/>
      </w:pPr>
      <w:r>
        <w:t>除湿机在限制热交换试验的过程中不应有任何危险发生</w:t>
      </w:r>
      <w:r>
        <w:rPr>
          <w:rFonts w:hint="eastAsia"/>
        </w:rPr>
        <w:t>，</w:t>
      </w:r>
      <w:r>
        <w:t>安全保护装置动作后</w:t>
      </w:r>
      <w:r>
        <w:rPr>
          <w:rFonts w:hint="eastAsia"/>
        </w:rPr>
        <w:t>，</w:t>
      </w:r>
      <w:r>
        <w:t>除湿机应能自行或手动恢复正常运行。</w:t>
      </w:r>
    </w:p>
    <w:p>
      <w:pPr>
        <w:pStyle w:val="105"/>
        <w:spacing w:before="120" w:after="120"/>
        <w:rPr>
          <w:rFonts w:hint="eastAsia"/>
        </w:rPr>
      </w:pPr>
      <w:r>
        <w:rPr>
          <w:rFonts w:hint="eastAsia"/>
        </w:rPr>
        <w:t>电源故障保护</w:t>
      </w:r>
    </w:p>
    <w:p>
      <w:pPr>
        <w:pStyle w:val="56"/>
        <w:ind w:firstLine="420"/>
      </w:pPr>
      <w:r>
        <w:t>除湿机在电源故障保护试验的过程中不应有异常发生</w:t>
      </w:r>
      <w:r>
        <w:rPr>
          <w:rFonts w:hint="eastAsia"/>
        </w:rPr>
        <w:t>，</w:t>
      </w:r>
      <w:r>
        <w:t>安全保护装置动作后</w:t>
      </w:r>
      <w:r>
        <w:rPr>
          <w:rFonts w:hint="eastAsia"/>
        </w:rPr>
        <w:t>，</w:t>
      </w:r>
      <w:r>
        <w:t>除湿机应能自行或手动恢复正常运行。</w:t>
      </w:r>
    </w:p>
    <w:p>
      <w:pPr>
        <w:pStyle w:val="105"/>
        <w:spacing w:before="120" w:after="120"/>
        <w:rPr>
          <w:rFonts w:hint="eastAsia"/>
        </w:rPr>
      </w:pPr>
      <w:r>
        <w:rPr>
          <w:rFonts w:hint="eastAsia"/>
        </w:rPr>
        <w:t>安全要求</w:t>
      </w:r>
    </w:p>
    <w:p>
      <w:pPr>
        <w:pStyle w:val="65"/>
        <w:spacing w:before="120" w:after="120"/>
        <w:rPr>
          <w:rFonts w:hint="eastAsia"/>
        </w:rPr>
      </w:pPr>
      <w:bookmarkStart w:id="50" w:name="OLE_LINK9"/>
      <w:r>
        <w:rPr>
          <w:rFonts w:hint="eastAsia"/>
        </w:rPr>
        <w:t>防触电保护</w:t>
      </w:r>
    </w:p>
    <w:bookmarkEnd w:id="50"/>
    <w:p>
      <w:pPr>
        <w:pStyle w:val="94"/>
        <w:numPr>
          <w:ilvl w:val="3"/>
          <w:numId w:val="0"/>
        </w:numPr>
        <w:spacing w:beforeLines="0" w:afterLines="0"/>
        <w:ind w:firstLine="420" w:firstLineChars="200"/>
        <w:rPr>
          <w:rFonts w:hint="eastAsia" w:ascii="宋体" w:hAnsi="宋体" w:eastAsia="宋体" w:cs="宋体"/>
        </w:rPr>
      </w:pPr>
      <w:r>
        <w:rPr>
          <w:rFonts w:hint="eastAsia" w:ascii="宋体" w:hAnsi="宋体" w:eastAsia="宋体" w:cs="宋体"/>
        </w:rPr>
        <w:t>除湿机的结构和外壳应使其对意外触及带电部件有足够的防护。在正常使用状态下或取下可拆卸部件后,仍能防止人与带电部件的意外接触。按</w:t>
      </w:r>
      <w:r>
        <w:rPr>
          <w:rFonts w:hint="eastAsia" w:ascii="宋体" w:eastAsia="宋体" w:cstheme="minorBidi"/>
        </w:rPr>
        <w:t>GB/T 19411—2024中</w:t>
      </w:r>
      <w:r>
        <w:rPr>
          <w:rFonts w:hint="eastAsia" w:ascii="宋体" w:hAnsi="宋体" w:eastAsia="宋体" w:cs="宋体"/>
        </w:rPr>
        <w:t>6.14.1进行试验时,试验探棒不应触及带电部件。</w:t>
      </w:r>
    </w:p>
    <w:p>
      <w:pPr>
        <w:pStyle w:val="65"/>
        <w:spacing w:before="120" w:after="120"/>
        <w:rPr>
          <w:rFonts w:hint="eastAsia"/>
        </w:rPr>
      </w:pPr>
      <w:r>
        <w:rPr>
          <w:rFonts w:hint="eastAsia"/>
        </w:rPr>
        <w:t>对运动部件的防护</w:t>
      </w:r>
    </w:p>
    <w:p>
      <w:pPr>
        <w:pStyle w:val="94"/>
        <w:numPr>
          <w:ilvl w:val="3"/>
          <w:numId w:val="0"/>
        </w:numPr>
        <w:spacing w:beforeLines="0" w:afterLines="0"/>
        <w:ind w:firstLine="420" w:firstLineChars="200"/>
        <w:rPr>
          <w:rFonts w:hint="eastAsia" w:ascii="宋体" w:hAnsi="宋体" w:eastAsia="宋体" w:cs="宋体"/>
        </w:rPr>
      </w:pPr>
      <w:r>
        <w:rPr>
          <w:rFonts w:hint="eastAsia" w:ascii="宋体" w:hAnsi="宋体" w:eastAsia="宋体" w:cs="宋体"/>
        </w:rPr>
        <w:t>除湿机运动部件的放置或封盖,应在正常使用中对人身伤害提供充分的防护,其防护性外壳、防护罩等类似部件应是不可拆卸部件,并具有足够的机械强度。按</w:t>
      </w:r>
      <w:r>
        <w:rPr>
          <w:rFonts w:hint="eastAsia" w:ascii="宋体" w:eastAsia="宋体" w:cstheme="minorBidi"/>
        </w:rPr>
        <w:t>GB/T 19411—2024中</w:t>
      </w:r>
      <w:r>
        <w:rPr>
          <w:rFonts w:hint="eastAsia" w:ascii="宋体" w:hAnsi="宋体" w:eastAsia="宋体" w:cs="宋体"/>
        </w:rPr>
        <w:t>6.14.2进行试验时,试验探棒不应触及危险运动部件,且防护部件不应产生影响其他性能的不良后果。</w:t>
      </w:r>
    </w:p>
    <w:p>
      <w:pPr>
        <w:pStyle w:val="65"/>
        <w:spacing w:before="120" w:after="120"/>
        <w:rPr>
          <w:rFonts w:hint="eastAsia"/>
        </w:rPr>
      </w:pPr>
      <w:r>
        <w:rPr>
          <w:rFonts w:hint="eastAsia"/>
        </w:rPr>
        <w:t>防水等级</w:t>
      </w:r>
    </w:p>
    <w:p>
      <w:pPr>
        <w:pStyle w:val="94"/>
        <w:numPr>
          <w:ilvl w:val="3"/>
          <w:numId w:val="0"/>
        </w:numPr>
        <w:spacing w:beforeLines="0" w:afterLines="0"/>
        <w:ind w:firstLine="420" w:firstLineChars="200"/>
        <w:rPr>
          <w:rFonts w:hint="eastAsia" w:ascii="宋体" w:hAnsi="宋体" w:eastAsia="宋体" w:cs="宋体"/>
        </w:rPr>
      </w:pPr>
      <w:r>
        <w:rPr>
          <w:rFonts w:hint="eastAsia" w:ascii="宋体" w:hAnsi="宋体" w:eastAsia="宋体" w:cs="宋体"/>
        </w:rPr>
        <w:t>除湿机的防水等级不应低于标称值,且室外部分至少应满足IPX4的要求。</w:t>
      </w:r>
    </w:p>
    <w:p>
      <w:pPr>
        <w:pStyle w:val="65"/>
        <w:spacing w:before="120" w:after="120"/>
        <w:rPr>
          <w:rFonts w:hint="eastAsia"/>
        </w:rPr>
      </w:pPr>
      <w:r>
        <w:rPr>
          <w:rFonts w:hint="eastAsia"/>
        </w:rPr>
        <w:t>泄漏电流</w:t>
      </w:r>
    </w:p>
    <w:p>
      <w:pPr>
        <w:pStyle w:val="13"/>
        <w:spacing w:before="167" w:line="240" w:lineRule="auto"/>
        <w:ind w:firstLine="420" w:firstLineChars="200"/>
        <w:rPr>
          <w:rFonts w:hint="eastAsia" w:ascii="宋体" w:hAnsi="Times New Roman" w:cstheme="minorBidi"/>
          <w:szCs w:val="20"/>
        </w:rPr>
      </w:pPr>
      <w:r>
        <w:rPr>
          <w:rFonts w:hint="eastAsia" w:ascii="宋体" w:hAnsi="Times New Roman" w:cstheme="minorBidi"/>
          <w:szCs w:val="20"/>
        </w:rPr>
        <w:t>除湿机的泄漏电流不应超过2 mA/kW，且同时满足以下要求：</w:t>
      </w:r>
    </w:p>
    <w:p>
      <w:pPr>
        <w:pStyle w:val="239"/>
        <w:numPr>
          <w:ilvl w:val="0"/>
          <w:numId w:val="36"/>
        </w:numPr>
        <w:jc w:val="left"/>
        <w:rPr>
          <w:szCs w:val="21"/>
        </w:rPr>
      </w:pPr>
      <w:r>
        <w:rPr>
          <w:rFonts w:hint="eastAsia"/>
          <w:szCs w:val="21"/>
        </w:rPr>
        <w:t>若为公众不易接近的器具，泄漏电流的最大值还应不超过30 mA；</w:t>
      </w:r>
    </w:p>
    <w:p>
      <w:pPr>
        <w:pStyle w:val="239"/>
        <w:numPr>
          <w:ilvl w:val="0"/>
          <w:numId w:val="36"/>
        </w:numPr>
        <w:jc w:val="left"/>
        <w:rPr>
          <w:szCs w:val="21"/>
        </w:rPr>
      </w:pPr>
      <w:r>
        <w:rPr>
          <w:rFonts w:hint="eastAsia"/>
          <w:szCs w:val="21"/>
        </w:rPr>
        <w:t>若为公众易接近的器具，泄漏电流的最大值还应不超过10 mA；</w:t>
      </w:r>
    </w:p>
    <w:p>
      <w:pPr>
        <w:pStyle w:val="239"/>
        <w:numPr>
          <w:ilvl w:val="0"/>
          <w:numId w:val="36"/>
        </w:numPr>
        <w:jc w:val="left"/>
        <w:rPr>
          <w:szCs w:val="21"/>
        </w:rPr>
      </w:pPr>
      <w:r>
        <w:rPr>
          <w:rFonts w:hint="eastAsia"/>
          <w:szCs w:val="21"/>
        </w:rPr>
        <w:t>若为便携式器具，泄漏电流的最大值还应不超过0.75 mA。</w:t>
      </w:r>
    </w:p>
    <w:p>
      <w:pPr>
        <w:pStyle w:val="179"/>
      </w:pPr>
      <w:r>
        <w:t>泄漏电流限定值以名义除湿消耗功率的明示值为基准进行计算。</w:t>
      </w:r>
    </w:p>
    <w:p>
      <w:pPr>
        <w:pStyle w:val="65"/>
        <w:spacing w:before="120" w:after="120"/>
        <w:rPr>
          <w:rFonts w:hint="eastAsia"/>
        </w:rPr>
      </w:pPr>
      <w:r>
        <w:rPr>
          <w:rFonts w:hint="eastAsia"/>
        </w:rPr>
        <w:t>电气强度</w:t>
      </w:r>
    </w:p>
    <w:p>
      <w:pPr>
        <w:pStyle w:val="56"/>
        <w:ind w:firstLine="420"/>
      </w:pPr>
      <w:r>
        <w:t>除湿机在进行电气强度试验的过程中</w:t>
      </w:r>
      <w:r>
        <w:rPr>
          <w:rFonts w:hint="eastAsia"/>
        </w:rPr>
        <w:t>，</w:t>
      </w:r>
      <w:r>
        <w:t>应无击穿和闪络现象发生。</w:t>
      </w:r>
    </w:p>
    <w:p>
      <w:pPr>
        <w:pStyle w:val="65"/>
        <w:spacing w:before="120" w:after="120"/>
        <w:rPr>
          <w:rFonts w:hint="eastAsia"/>
        </w:rPr>
      </w:pPr>
      <w:r>
        <w:rPr>
          <w:rFonts w:hint="eastAsia"/>
        </w:rPr>
        <w:t>接地装置</w:t>
      </w:r>
    </w:p>
    <w:p>
      <w:pPr>
        <w:pStyle w:val="164"/>
        <w:rPr>
          <w:rFonts w:hint="eastAsia"/>
        </w:rPr>
      </w:pPr>
      <w:r>
        <w:rPr>
          <w:rFonts w:hint="eastAsia"/>
        </w:rPr>
        <w:t>除湿机应具有永久可靠的保护接地装置,易触及的金属部件应与接地装置可靠连接。除湿机的接地端子及其夹紧装置除做保护接地用途外，不应兼做其他用途；除湿机的接地装置连接应充分牢固，保护接地电路的部件，应是具有足够耐腐蚀的金属；保护接地电路应按照GB/T 5226.1—2019中8.2规定进行标识。</w:t>
      </w:r>
    </w:p>
    <w:p>
      <w:pPr>
        <w:pStyle w:val="164"/>
        <w:rPr>
          <w:rFonts w:hint="eastAsia"/>
        </w:rPr>
      </w:pPr>
      <w:r>
        <w:rPr>
          <w:rFonts w:hint="eastAsia"/>
        </w:rPr>
        <w:t>除湿机的保护接地电路应具有连续性。按</w:t>
      </w:r>
      <w:r>
        <w:rPr>
          <w:rFonts w:hint="eastAsia" w:cstheme="minorBidi"/>
        </w:rPr>
        <w:t>GB/T 19411—2024中</w:t>
      </w:r>
      <w:r>
        <w:rPr>
          <w:rFonts w:hint="eastAsia"/>
        </w:rPr>
        <w:t>6.14.6 中b)的方法试验，测得的最大电压降不应超过表2规定的值。名义除湿量不大于10 kg/h的除湿机，或接地电阻测试设备能满足1.5倍名义除湿工况下的额定电流的条件，按GB 4706.1—2005中27.5的规定进行接地电阻试验，接地电阻值不应大于0.1 Ω。</w:t>
      </w:r>
    </w:p>
    <w:p>
      <w:pPr>
        <w:pStyle w:val="112"/>
        <w:spacing w:before="120" w:after="120"/>
        <w:rPr>
          <w:rFonts w:ascii="方正黑体_GBK" w:eastAsia="方正黑体_GBK"/>
        </w:rPr>
      </w:pPr>
      <w:r>
        <w:rPr>
          <w:rFonts w:hint="eastAsia" w:hAnsi="黑体" w:cs="黑体"/>
        </w:rPr>
        <w:t>保护接地电路的最大电压降</w:t>
      </w:r>
    </w:p>
    <w:tbl>
      <w:tblPr>
        <w:tblStyle w:val="27"/>
        <w:tblW w:w="92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1"/>
        <w:gridCol w:w="4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1" w:type="dxa"/>
            <w:vAlign w:val="center"/>
          </w:tcPr>
          <w:p>
            <w:pPr>
              <w:pStyle w:val="241"/>
              <w:spacing w:before="0"/>
              <w:ind w:right="139"/>
              <w:jc w:val="center"/>
              <w:rPr>
                <w:rFonts w:hint="eastAsia" w:hAnsi="宋体" w:cs="宋体"/>
                <w:sz w:val="18"/>
                <w:szCs w:val="18"/>
              </w:rPr>
            </w:pPr>
            <w:r>
              <w:rPr>
                <w:rFonts w:hint="eastAsia" w:hAnsi="宋体" w:cs="宋体"/>
                <w:sz w:val="18"/>
                <w:szCs w:val="18"/>
              </w:rPr>
              <w:t>被测保护导线支路最小有效截面积/mm</w:t>
            </w:r>
            <w:r>
              <w:rPr>
                <w:rFonts w:hint="eastAsia" w:hAnsi="宋体" w:cs="宋体"/>
                <w:sz w:val="18"/>
                <w:szCs w:val="18"/>
                <w:vertAlign w:val="superscript"/>
              </w:rPr>
              <w:t>2</w:t>
            </w:r>
          </w:p>
        </w:tc>
        <w:tc>
          <w:tcPr>
            <w:tcW w:w="4620" w:type="dxa"/>
            <w:vAlign w:val="center"/>
          </w:tcPr>
          <w:p>
            <w:pPr>
              <w:pStyle w:val="241"/>
              <w:spacing w:before="0"/>
              <w:ind w:right="139"/>
              <w:jc w:val="center"/>
              <w:rPr>
                <w:rFonts w:hint="eastAsia" w:hAnsi="宋体" w:cs="宋体"/>
                <w:sz w:val="18"/>
                <w:szCs w:val="18"/>
              </w:rPr>
            </w:pPr>
            <w:r>
              <w:rPr>
                <w:rFonts w:hint="eastAsia" w:hAnsi="宋体" w:cs="宋体"/>
                <w:sz w:val="18"/>
                <w:szCs w:val="18"/>
              </w:rPr>
              <w:t>最大电压降(对应测试电流为10A 的值)/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1" w:type="dxa"/>
            <w:vAlign w:val="center"/>
          </w:tcPr>
          <w:p>
            <w:pPr>
              <w:pStyle w:val="241"/>
              <w:spacing w:before="0"/>
              <w:ind w:right="139"/>
              <w:jc w:val="center"/>
              <w:rPr>
                <w:rFonts w:hint="eastAsia" w:hAnsi="宋体" w:cs="宋体"/>
                <w:sz w:val="18"/>
                <w:szCs w:val="18"/>
              </w:rPr>
            </w:pPr>
            <w:r>
              <w:rPr>
                <w:rFonts w:hint="eastAsia" w:hAnsi="宋体" w:cs="宋体"/>
                <w:sz w:val="18"/>
                <w:szCs w:val="18"/>
              </w:rPr>
              <w:t>1.0</w:t>
            </w:r>
          </w:p>
        </w:tc>
        <w:tc>
          <w:tcPr>
            <w:tcW w:w="4620" w:type="dxa"/>
            <w:vAlign w:val="center"/>
          </w:tcPr>
          <w:p>
            <w:pPr>
              <w:pStyle w:val="241"/>
              <w:spacing w:before="0"/>
              <w:ind w:right="139"/>
              <w:jc w:val="center"/>
              <w:rPr>
                <w:rFonts w:hint="eastAsia" w:hAnsi="宋体" w:cs="宋体"/>
                <w:sz w:val="18"/>
                <w:szCs w:val="18"/>
              </w:rPr>
            </w:pPr>
            <w:r>
              <w:rPr>
                <w:rFonts w:hint="eastAsia" w:hAnsi="宋体" w:cs="宋体"/>
                <w:sz w:val="18"/>
                <w:szCs w:val="18"/>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1" w:type="dxa"/>
            <w:vAlign w:val="center"/>
          </w:tcPr>
          <w:p>
            <w:pPr>
              <w:pStyle w:val="241"/>
              <w:spacing w:before="0"/>
              <w:ind w:right="139"/>
              <w:jc w:val="center"/>
              <w:rPr>
                <w:rFonts w:hint="eastAsia" w:hAnsi="宋体" w:cs="宋体"/>
                <w:sz w:val="18"/>
                <w:szCs w:val="18"/>
              </w:rPr>
            </w:pPr>
            <w:r>
              <w:rPr>
                <w:rFonts w:hint="eastAsia" w:hAnsi="宋体" w:cs="宋体"/>
                <w:sz w:val="18"/>
                <w:szCs w:val="18"/>
              </w:rPr>
              <w:t>1.5</w:t>
            </w:r>
          </w:p>
        </w:tc>
        <w:tc>
          <w:tcPr>
            <w:tcW w:w="4620" w:type="dxa"/>
            <w:vAlign w:val="center"/>
          </w:tcPr>
          <w:p>
            <w:pPr>
              <w:pStyle w:val="241"/>
              <w:spacing w:before="0"/>
              <w:ind w:right="139"/>
              <w:jc w:val="center"/>
              <w:rPr>
                <w:rFonts w:hint="eastAsia" w:hAnsi="宋体" w:cs="宋体"/>
                <w:sz w:val="18"/>
                <w:szCs w:val="18"/>
              </w:rPr>
            </w:pPr>
            <w:r>
              <w:rPr>
                <w:rFonts w:hint="eastAsia" w:hAnsi="宋体" w:cs="宋体"/>
                <w:sz w:val="18"/>
                <w:szCs w:val="1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1" w:type="dxa"/>
            <w:vAlign w:val="center"/>
          </w:tcPr>
          <w:p>
            <w:pPr>
              <w:pStyle w:val="241"/>
              <w:spacing w:before="0"/>
              <w:ind w:right="139"/>
              <w:jc w:val="center"/>
              <w:rPr>
                <w:rFonts w:hint="eastAsia" w:hAnsi="宋体" w:cs="宋体"/>
                <w:sz w:val="18"/>
                <w:szCs w:val="18"/>
              </w:rPr>
            </w:pPr>
            <w:r>
              <w:rPr>
                <w:rFonts w:hint="eastAsia" w:hAnsi="宋体" w:cs="宋体"/>
                <w:sz w:val="18"/>
                <w:szCs w:val="18"/>
              </w:rPr>
              <w:t>2.5</w:t>
            </w:r>
          </w:p>
        </w:tc>
        <w:tc>
          <w:tcPr>
            <w:tcW w:w="4620" w:type="dxa"/>
            <w:vAlign w:val="center"/>
          </w:tcPr>
          <w:p>
            <w:pPr>
              <w:pStyle w:val="241"/>
              <w:spacing w:before="0"/>
              <w:ind w:right="139"/>
              <w:jc w:val="center"/>
              <w:rPr>
                <w:rFonts w:hint="eastAsia" w:hAnsi="宋体" w:cs="宋体"/>
                <w:sz w:val="18"/>
                <w:szCs w:val="18"/>
              </w:rPr>
            </w:pPr>
            <w:r>
              <w:rPr>
                <w:rFonts w:hint="eastAsia" w:hAnsi="宋体" w:cs="宋体"/>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1" w:type="dxa"/>
            <w:vAlign w:val="center"/>
          </w:tcPr>
          <w:p>
            <w:pPr>
              <w:pStyle w:val="241"/>
              <w:spacing w:before="0"/>
              <w:ind w:right="139"/>
              <w:jc w:val="center"/>
              <w:rPr>
                <w:rFonts w:hint="eastAsia" w:hAnsi="宋体" w:cs="宋体"/>
                <w:sz w:val="18"/>
                <w:szCs w:val="18"/>
              </w:rPr>
            </w:pPr>
            <w:r>
              <w:rPr>
                <w:rFonts w:hint="eastAsia" w:hAnsi="宋体" w:cs="宋体"/>
                <w:sz w:val="18"/>
                <w:szCs w:val="18"/>
              </w:rPr>
              <w:t>4.0</w:t>
            </w:r>
          </w:p>
        </w:tc>
        <w:tc>
          <w:tcPr>
            <w:tcW w:w="4620" w:type="dxa"/>
            <w:vAlign w:val="center"/>
          </w:tcPr>
          <w:p>
            <w:pPr>
              <w:pStyle w:val="241"/>
              <w:spacing w:before="0"/>
              <w:ind w:right="139"/>
              <w:jc w:val="center"/>
              <w:rPr>
                <w:rFonts w:hint="eastAsia" w:hAnsi="宋体" w:cs="宋体"/>
                <w:sz w:val="18"/>
                <w:szCs w:val="18"/>
              </w:rPr>
            </w:pPr>
            <w:r>
              <w:rPr>
                <w:rFonts w:hint="eastAsia" w:hAnsi="宋体" w:cs="宋体"/>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1" w:type="dxa"/>
            <w:vAlign w:val="center"/>
          </w:tcPr>
          <w:p>
            <w:pPr>
              <w:pStyle w:val="241"/>
              <w:spacing w:before="0"/>
              <w:ind w:right="139"/>
              <w:jc w:val="center"/>
              <w:rPr>
                <w:rFonts w:hint="eastAsia" w:hAnsi="宋体" w:cs="宋体"/>
                <w:sz w:val="18"/>
                <w:szCs w:val="18"/>
              </w:rPr>
            </w:pPr>
            <w:r>
              <w:rPr>
                <w:rFonts w:hint="eastAsia" w:hAnsi="宋体" w:cs="宋体"/>
                <w:sz w:val="18"/>
                <w:szCs w:val="18"/>
              </w:rPr>
              <w:t>&gt;6</w:t>
            </w:r>
          </w:p>
        </w:tc>
        <w:tc>
          <w:tcPr>
            <w:tcW w:w="4620" w:type="dxa"/>
            <w:vAlign w:val="center"/>
          </w:tcPr>
          <w:p>
            <w:pPr>
              <w:pStyle w:val="241"/>
              <w:spacing w:before="0"/>
              <w:ind w:right="139"/>
              <w:jc w:val="center"/>
              <w:rPr>
                <w:rFonts w:hint="eastAsia" w:hAnsi="宋体" w:cs="宋体"/>
                <w:sz w:val="18"/>
                <w:szCs w:val="18"/>
              </w:rPr>
            </w:pPr>
            <w:r>
              <w:rPr>
                <w:rFonts w:hint="eastAsia" w:hAnsi="宋体" w:cs="宋体"/>
                <w:sz w:val="18"/>
                <w:szCs w:val="18"/>
              </w:rPr>
              <w:t>1.0</w:t>
            </w:r>
          </w:p>
        </w:tc>
      </w:tr>
    </w:tbl>
    <w:p>
      <w:pPr>
        <w:pStyle w:val="65"/>
        <w:spacing w:before="120" w:after="120"/>
        <w:rPr>
          <w:rFonts w:hint="eastAsia"/>
          <w:color w:val="auto"/>
        </w:rPr>
      </w:pPr>
      <w:bookmarkStart w:id="51" w:name="OLE_LINK25"/>
      <w:r>
        <w:rPr>
          <w:rFonts w:hint="eastAsia"/>
          <w:color w:val="auto"/>
        </w:rPr>
        <w:t>其他安全要求</w:t>
      </w:r>
    </w:p>
    <w:p>
      <w:pPr>
        <w:pStyle w:val="56"/>
        <w:ind w:firstLine="420"/>
        <w:rPr>
          <w:color w:val="auto"/>
        </w:rPr>
      </w:pPr>
      <w:r>
        <w:rPr>
          <w:rFonts w:hint="eastAsia" w:hAnsi="黑体" w:cs="黑体"/>
          <w:color w:val="auto"/>
          <w:szCs w:val="21"/>
        </w:rPr>
        <w:t>应符合GB/T 4706.1和GB/T 4706.32的要求</w:t>
      </w:r>
      <w:bookmarkEnd w:id="51"/>
      <w:r>
        <w:rPr>
          <w:rFonts w:hint="eastAsia" w:hAnsi="黑体" w:cs="黑体"/>
          <w:color w:val="auto"/>
          <w:szCs w:val="21"/>
        </w:rPr>
        <w:t>。</w:t>
      </w:r>
    </w:p>
    <w:p>
      <w:pPr>
        <w:pStyle w:val="105"/>
        <w:spacing w:before="120" w:after="120"/>
        <w:rPr>
          <w:rFonts w:hint="eastAsia"/>
          <w:color w:val="auto"/>
        </w:rPr>
      </w:pPr>
      <w:r>
        <w:rPr>
          <w:rFonts w:hint="eastAsia"/>
          <w:color w:val="auto"/>
        </w:rPr>
        <w:t>电磁兼容</w:t>
      </w:r>
    </w:p>
    <w:p>
      <w:pPr>
        <w:pStyle w:val="165"/>
        <w:rPr>
          <w:rFonts w:hint="eastAsia"/>
        </w:rPr>
      </w:pPr>
      <w:r>
        <w:t>除湿机的端子骚扰电压、骚扰功率(辐射骚扰)、断续干扰应满足以下要求</w:t>
      </w:r>
      <w:r>
        <w:rPr>
          <w:rFonts w:hint="eastAsia"/>
        </w:rPr>
        <w:t>：</w:t>
      </w:r>
    </w:p>
    <w:p>
      <w:pPr>
        <w:pStyle w:val="174"/>
      </w:pPr>
      <w:r>
        <w:rPr>
          <w:rFonts w:hint="eastAsia"/>
        </w:rPr>
        <w:t xml:space="preserve">名义除湿量小于或等于10 kg/h的除湿机的端子骚扰电压、骚扰功率(辐射骚扰)、断续干扰不应超过GB 4343.1规定的限值； </w:t>
      </w:r>
    </w:p>
    <w:p>
      <w:pPr>
        <w:pStyle w:val="174"/>
      </w:pPr>
      <w:r>
        <w:rPr>
          <w:rFonts w:hint="eastAsia"/>
        </w:rPr>
        <w:t>名义除湿量大于10 kg/h的除湿机的端子骚扰电压、骚扰功率(辐射骚扰)、断续干扰应符合相应标准或供需双方达成的协议。</w:t>
      </w:r>
    </w:p>
    <w:p>
      <w:pPr>
        <w:pStyle w:val="165"/>
        <w:rPr>
          <w:rFonts w:hint="eastAsia"/>
        </w:rPr>
      </w:pPr>
      <w:r>
        <w:t>除湿机的谐波电流应满足以下要求</w:t>
      </w:r>
      <w:r>
        <w:rPr>
          <w:rFonts w:hint="eastAsia"/>
        </w:rPr>
        <w:t>：</w:t>
      </w:r>
    </w:p>
    <w:p>
      <w:pPr>
        <w:pStyle w:val="239"/>
        <w:numPr>
          <w:ilvl w:val="0"/>
          <w:numId w:val="37"/>
        </w:numPr>
        <w:jc w:val="left"/>
        <w:rPr>
          <w:szCs w:val="21"/>
        </w:rPr>
      </w:pPr>
      <w:r>
        <w:rPr>
          <w:rFonts w:hint="eastAsia"/>
          <w:szCs w:val="21"/>
        </w:rPr>
        <w:t xml:space="preserve">每相输入电流小于或等于16 A的除湿机,谐波电流试验按GB 17625.1规定的方法进行试验； </w:t>
      </w:r>
    </w:p>
    <w:p>
      <w:pPr>
        <w:pStyle w:val="239"/>
        <w:numPr>
          <w:ilvl w:val="0"/>
          <w:numId w:val="37"/>
        </w:numPr>
        <w:jc w:val="left"/>
        <w:rPr>
          <w:szCs w:val="21"/>
        </w:rPr>
      </w:pPr>
      <w:r>
        <w:rPr>
          <w:rFonts w:hint="eastAsia"/>
          <w:szCs w:val="21"/>
        </w:rPr>
        <w:t>每相输入电流大于16 A的除湿机，谐波电流试验按GB/T 17625.8规定的方法或供需双方达成的协</w:t>
      </w:r>
      <w:r>
        <w:rPr>
          <w:szCs w:val="21"/>
        </w:rPr>
        <w:t>议中规定的方法进行试验。</w:t>
      </w:r>
    </w:p>
    <w:p>
      <w:pPr>
        <w:pStyle w:val="165"/>
        <w:rPr>
          <w:rFonts w:hint="eastAsia"/>
        </w:rPr>
      </w:pPr>
      <w:r>
        <w:t>除湿机的电气控制系统应满足</w:t>
      </w:r>
      <w:r>
        <w:rPr>
          <w:rFonts w:hAnsi="宋体"/>
        </w:rPr>
        <w:t>GB/T</w:t>
      </w:r>
      <w:r>
        <w:rPr>
          <w:rFonts w:hint="eastAsia"/>
        </w:rPr>
        <w:t xml:space="preserve"> </w:t>
      </w:r>
      <w:r>
        <w:rPr>
          <w:rFonts w:hAnsi="宋体"/>
        </w:rPr>
        <w:t>4343.2</w:t>
      </w:r>
      <w:r>
        <w:rPr>
          <w:rFonts w:hint="eastAsia"/>
        </w:rPr>
        <w:t>—2020</w:t>
      </w:r>
      <w:r>
        <w:t>中对</w:t>
      </w:r>
      <w:r>
        <w:rPr>
          <w:rFonts w:hAnsi="宋体"/>
        </w:rPr>
        <w:t>Ⅱ</w:t>
      </w:r>
      <w:r>
        <w:t>类器具的抗扰度要求</w:t>
      </w:r>
      <w:r>
        <w:rPr>
          <w:rFonts w:hAnsi="宋体"/>
        </w:rPr>
        <w:t>。</w:t>
      </w:r>
    </w:p>
    <w:p>
      <w:pPr>
        <w:pStyle w:val="105"/>
        <w:spacing w:before="120" w:after="120"/>
        <w:rPr>
          <w:rFonts w:hint="eastAsia"/>
        </w:rPr>
      </w:pPr>
      <w:r>
        <w:rPr>
          <w:rFonts w:hint="eastAsia"/>
        </w:rPr>
        <w:t>噪声</w:t>
      </w:r>
    </w:p>
    <w:p>
      <w:pPr>
        <w:pStyle w:val="56"/>
        <w:ind w:firstLine="420"/>
      </w:pPr>
      <w:r>
        <w:t>按</w:t>
      </w:r>
      <w:r>
        <w:rPr>
          <w:rFonts w:hint="eastAsia" w:cstheme="minorBidi"/>
        </w:rPr>
        <w:t>GB/T 19411—2024中</w:t>
      </w:r>
      <w:r>
        <w:t>附录B规定的噪声测试方法</w:t>
      </w:r>
      <w:r>
        <w:rPr>
          <w:rFonts w:hint="eastAsia"/>
        </w:rPr>
        <w:t>，</w:t>
      </w:r>
      <w:r>
        <w:t>除湿机的实测声压级噪声不应大于表</w:t>
      </w:r>
      <w:r>
        <w:rPr>
          <w:rFonts w:hint="eastAsia"/>
        </w:rPr>
        <w:t>3</w:t>
      </w:r>
      <w:r>
        <w:t>规定的限值</w:t>
      </w:r>
      <w:r>
        <w:rPr>
          <w:rFonts w:hint="eastAsia"/>
        </w:rPr>
        <w:t>，</w:t>
      </w:r>
      <w:r>
        <w:t>且不应大于明示值+3dB(A)。</w:t>
      </w:r>
    </w:p>
    <w:p>
      <w:pPr>
        <w:pStyle w:val="56"/>
        <w:ind w:firstLine="420"/>
      </w:pPr>
    </w:p>
    <w:p>
      <w:pPr>
        <w:pStyle w:val="56"/>
        <w:ind w:firstLine="420"/>
      </w:pPr>
    </w:p>
    <w:p>
      <w:pPr>
        <w:pStyle w:val="56"/>
        <w:ind w:firstLine="420"/>
      </w:pPr>
    </w:p>
    <w:p>
      <w:pPr>
        <w:pStyle w:val="56"/>
        <w:ind w:firstLine="420"/>
      </w:pPr>
    </w:p>
    <w:p>
      <w:pPr>
        <w:pStyle w:val="56"/>
        <w:ind w:firstLine="420"/>
      </w:pPr>
    </w:p>
    <w:p>
      <w:pPr>
        <w:pStyle w:val="112"/>
        <w:spacing w:before="120" w:after="120"/>
        <w:rPr>
          <w:rFonts w:hint="eastAsia" w:cs="黑体"/>
          <w:szCs w:val="21"/>
        </w:rPr>
      </w:pPr>
      <w:r>
        <w:rPr>
          <w:rFonts w:hint="eastAsia" w:hAnsi="黑体" w:cs="黑体"/>
          <w:szCs w:val="21"/>
        </w:rPr>
        <w:t>噪声限值(声压级)</w:t>
      </w:r>
    </w:p>
    <w:tbl>
      <w:tblPr>
        <w:tblStyle w:val="27"/>
        <w:tblW w:w="95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0"/>
        <w:gridCol w:w="5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0" w:type="dxa"/>
          </w:tcPr>
          <w:p>
            <w:pPr>
              <w:pStyle w:val="241"/>
              <w:spacing w:before="0"/>
              <w:ind w:right="139"/>
              <w:jc w:val="center"/>
              <w:rPr>
                <w:rFonts w:hint="eastAsia" w:hAnsi="宋体" w:cs="宋体"/>
                <w:color w:val="auto"/>
                <w:sz w:val="18"/>
                <w:szCs w:val="18"/>
              </w:rPr>
            </w:pPr>
            <w:bookmarkStart w:id="52" w:name="OLE_LINK24" w:colFirst="0" w:colLast="1"/>
            <w:r>
              <w:rPr>
                <w:rFonts w:hint="eastAsia" w:hAnsi="宋体" w:cs="宋体"/>
                <w:color w:val="auto"/>
                <w:sz w:val="18"/>
                <w:szCs w:val="18"/>
              </w:rPr>
              <w:t>名义除湿量</w:t>
            </w:r>
            <w:r>
              <w:rPr>
                <w:rFonts w:hint="eastAsia" w:hAnsi="宋体" w:cs="宋体"/>
                <w:i/>
                <w:iCs/>
                <w:color w:val="auto"/>
                <w:sz w:val="18"/>
                <w:szCs w:val="18"/>
              </w:rPr>
              <w:t>DCR</w:t>
            </w:r>
            <w:r>
              <w:rPr>
                <w:rFonts w:hint="eastAsia" w:hAnsi="宋体" w:cs="宋体"/>
                <w:color w:val="auto"/>
                <w:sz w:val="18"/>
                <w:szCs w:val="18"/>
              </w:rPr>
              <w:t>，kg/h</w:t>
            </w:r>
          </w:p>
        </w:tc>
        <w:tc>
          <w:tcPr>
            <w:tcW w:w="5391" w:type="dxa"/>
          </w:tcPr>
          <w:p>
            <w:pPr>
              <w:pStyle w:val="241"/>
              <w:spacing w:before="0"/>
              <w:ind w:right="139"/>
              <w:jc w:val="center"/>
              <w:rPr>
                <w:rFonts w:hint="eastAsia" w:hAnsi="宋体" w:cs="宋体"/>
                <w:color w:val="auto"/>
                <w:sz w:val="18"/>
                <w:szCs w:val="18"/>
              </w:rPr>
            </w:pPr>
            <w:r>
              <w:rPr>
                <w:rFonts w:hint="eastAsia" w:hAnsi="宋体" w:cs="宋体"/>
                <w:color w:val="auto"/>
                <w:sz w:val="18"/>
                <w:szCs w:val="18"/>
              </w:rPr>
              <w:t>噪声限值,dB(A)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0" w:type="dxa"/>
          </w:tcPr>
          <w:p>
            <w:pPr>
              <w:pStyle w:val="241"/>
              <w:spacing w:before="0"/>
              <w:ind w:right="139"/>
              <w:jc w:val="center"/>
              <w:rPr>
                <w:rFonts w:hint="eastAsia" w:hAnsi="宋体" w:cs="宋体"/>
                <w:color w:val="auto"/>
                <w:sz w:val="18"/>
                <w:szCs w:val="18"/>
              </w:rPr>
            </w:pPr>
            <w:r>
              <w:rPr>
                <w:rFonts w:hint="eastAsia" w:hAnsi="宋体" w:cs="宋体"/>
                <w:i/>
                <w:iCs/>
                <w:color w:val="auto"/>
                <w:sz w:val="18"/>
                <w:szCs w:val="18"/>
              </w:rPr>
              <w:t>DCR</w:t>
            </w:r>
            <w:r>
              <w:rPr>
                <w:rFonts w:hint="eastAsia" w:hAnsi="宋体" w:cs="宋体"/>
                <w:color w:val="auto"/>
                <w:sz w:val="18"/>
                <w:szCs w:val="18"/>
              </w:rPr>
              <w:t>≤0.25</w:t>
            </w:r>
          </w:p>
        </w:tc>
        <w:tc>
          <w:tcPr>
            <w:tcW w:w="5391" w:type="dxa"/>
          </w:tcPr>
          <w:p>
            <w:pPr>
              <w:pStyle w:val="241"/>
              <w:tabs>
                <w:tab w:val="left" w:pos="850"/>
              </w:tabs>
              <w:spacing w:before="52"/>
              <w:ind w:left="180" w:right="145"/>
              <w:jc w:val="center"/>
              <w:rPr>
                <w:rFonts w:hint="default" w:eastAsia="宋体"/>
                <w:color w:val="auto"/>
                <w:sz w:val="18"/>
                <w:lang w:val="en-US" w:eastAsia="zh-CN"/>
              </w:rPr>
            </w:pPr>
            <w:r>
              <w:rPr>
                <w:rFonts w:hint="eastAsia"/>
                <w:color w:val="auto"/>
                <w:spacing w:val="-5"/>
                <w:sz w:val="18"/>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0" w:type="dxa"/>
          </w:tcPr>
          <w:p>
            <w:pPr>
              <w:pStyle w:val="241"/>
              <w:spacing w:before="0"/>
              <w:ind w:right="139"/>
              <w:jc w:val="center"/>
              <w:rPr>
                <w:rFonts w:hint="eastAsia" w:hAnsi="宋体" w:cs="宋体"/>
                <w:color w:val="auto"/>
                <w:sz w:val="18"/>
                <w:szCs w:val="18"/>
              </w:rPr>
            </w:pPr>
            <w:r>
              <w:rPr>
                <w:rFonts w:hint="eastAsia" w:hAnsi="宋体" w:cs="宋体"/>
                <w:color w:val="auto"/>
                <w:sz w:val="18"/>
                <w:szCs w:val="18"/>
              </w:rPr>
              <w:t>0.25&lt;</w:t>
            </w:r>
            <w:r>
              <w:rPr>
                <w:rFonts w:hint="eastAsia" w:hAnsi="宋体" w:cs="宋体"/>
                <w:i/>
                <w:iCs/>
                <w:color w:val="auto"/>
                <w:sz w:val="18"/>
                <w:szCs w:val="18"/>
              </w:rPr>
              <w:t>DCR</w:t>
            </w:r>
            <w:r>
              <w:rPr>
                <w:rFonts w:hint="eastAsia" w:hAnsi="宋体" w:cs="宋体"/>
                <w:color w:val="auto"/>
                <w:sz w:val="18"/>
                <w:szCs w:val="18"/>
              </w:rPr>
              <w:t>≤0.50</w:t>
            </w:r>
          </w:p>
        </w:tc>
        <w:tc>
          <w:tcPr>
            <w:tcW w:w="5391" w:type="dxa"/>
          </w:tcPr>
          <w:p>
            <w:pPr>
              <w:pStyle w:val="241"/>
              <w:tabs>
                <w:tab w:val="left" w:pos="850"/>
              </w:tabs>
              <w:spacing w:before="52"/>
              <w:ind w:left="180" w:right="145"/>
              <w:jc w:val="center"/>
              <w:rPr>
                <w:rFonts w:hint="default" w:eastAsia="宋体"/>
                <w:color w:val="auto"/>
                <w:sz w:val="18"/>
                <w:lang w:val="en-US" w:eastAsia="zh-CN"/>
              </w:rPr>
            </w:pPr>
            <w:r>
              <w:rPr>
                <w:rFonts w:hint="eastAsia"/>
                <w:color w:val="auto"/>
                <w:spacing w:val="-5"/>
                <w:sz w:val="18"/>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0" w:type="dxa"/>
          </w:tcPr>
          <w:p>
            <w:pPr>
              <w:pStyle w:val="241"/>
              <w:spacing w:before="0"/>
              <w:ind w:right="139"/>
              <w:jc w:val="center"/>
              <w:rPr>
                <w:rFonts w:hint="eastAsia" w:hAnsi="宋体" w:cs="宋体"/>
                <w:color w:val="auto"/>
                <w:sz w:val="18"/>
                <w:szCs w:val="18"/>
              </w:rPr>
            </w:pPr>
            <w:r>
              <w:rPr>
                <w:rFonts w:hint="eastAsia" w:hAnsi="宋体" w:cs="宋体"/>
                <w:color w:val="auto"/>
                <w:sz w:val="18"/>
                <w:szCs w:val="18"/>
              </w:rPr>
              <w:t>0.50&lt;</w:t>
            </w:r>
            <w:r>
              <w:rPr>
                <w:rFonts w:hint="eastAsia" w:hAnsi="宋体" w:cs="宋体"/>
                <w:i/>
                <w:iCs/>
                <w:color w:val="auto"/>
                <w:sz w:val="18"/>
                <w:szCs w:val="18"/>
              </w:rPr>
              <w:t>DCR</w:t>
            </w:r>
            <w:r>
              <w:rPr>
                <w:rFonts w:hint="eastAsia" w:hAnsi="宋体" w:cs="宋体"/>
                <w:color w:val="auto"/>
                <w:sz w:val="18"/>
                <w:szCs w:val="18"/>
              </w:rPr>
              <w:t>≤1.00</w:t>
            </w:r>
          </w:p>
        </w:tc>
        <w:tc>
          <w:tcPr>
            <w:tcW w:w="5391" w:type="dxa"/>
          </w:tcPr>
          <w:p>
            <w:pPr>
              <w:pStyle w:val="241"/>
              <w:tabs>
                <w:tab w:val="left" w:pos="850"/>
              </w:tabs>
              <w:spacing w:before="55"/>
              <w:ind w:left="180" w:right="145"/>
              <w:jc w:val="center"/>
              <w:rPr>
                <w:rFonts w:hint="default" w:eastAsia="宋体"/>
                <w:color w:val="auto"/>
                <w:sz w:val="18"/>
                <w:lang w:val="en-US" w:eastAsia="zh-CN"/>
              </w:rPr>
            </w:pPr>
            <w:r>
              <w:rPr>
                <w:rFonts w:hint="eastAsia"/>
                <w:color w:val="auto"/>
                <w:spacing w:val="-5"/>
                <w:sz w:val="18"/>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0" w:type="dxa"/>
          </w:tcPr>
          <w:p>
            <w:pPr>
              <w:pStyle w:val="241"/>
              <w:spacing w:before="0"/>
              <w:ind w:right="139"/>
              <w:jc w:val="center"/>
              <w:rPr>
                <w:rFonts w:hint="eastAsia" w:hAnsi="宋体" w:cs="宋体"/>
                <w:color w:val="auto"/>
                <w:sz w:val="18"/>
                <w:szCs w:val="18"/>
              </w:rPr>
            </w:pPr>
            <w:r>
              <w:rPr>
                <w:rFonts w:hint="eastAsia" w:hAnsi="宋体" w:cs="宋体"/>
                <w:color w:val="auto"/>
                <w:sz w:val="18"/>
                <w:szCs w:val="18"/>
              </w:rPr>
              <w:t>1.00&lt;</w:t>
            </w:r>
            <w:r>
              <w:rPr>
                <w:rFonts w:hint="eastAsia" w:hAnsi="宋体" w:cs="宋体"/>
                <w:i/>
                <w:iCs/>
                <w:color w:val="auto"/>
                <w:sz w:val="18"/>
                <w:szCs w:val="18"/>
              </w:rPr>
              <w:t>DCR</w:t>
            </w:r>
            <w:r>
              <w:rPr>
                <w:rFonts w:hint="eastAsia" w:hAnsi="宋体" w:cs="宋体"/>
                <w:color w:val="auto"/>
                <w:sz w:val="18"/>
                <w:szCs w:val="18"/>
              </w:rPr>
              <w:t>≤2.00</w:t>
            </w:r>
          </w:p>
        </w:tc>
        <w:tc>
          <w:tcPr>
            <w:tcW w:w="5391" w:type="dxa"/>
          </w:tcPr>
          <w:p>
            <w:pPr>
              <w:pStyle w:val="241"/>
              <w:tabs>
                <w:tab w:val="left" w:pos="850"/>
              </w:tabs>
              <w:spacing w:before="52"/>
              <w:ind w:left="180" w:right="145"/>
              <w:jc w:val="center"/>
              <w:rPr>
                <w:rFonts w:hint="default" w:eastAsia="宋体"/>
                <w:color w:val="auto"/>
                <w:sz w:val="18"/>
                <w:lang w:val="en-US" w:eastAsia="zh-CN"/>
              </w:rPr>
            </w:pPr>
            <w:r>
              <w:rPr>
                <w:rFonts w:hint="eastAsia"/>
                <w:color w:val="auto"/>
                <w:spacing w:val="-5"/>
                <w:sz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0" w:type="dxa"/>
          </w:tcPr>
          <w:p>
            <w:pPr>
              <w:pStyle w:val="241"/>
              <w:spacing w:before="0"/>
              <w:ind w:right="139"/>
              <w:jc w:val="center"/>
              <w:rPr>
                <w:rFonts w:hint="eastAsia" w:hAnsi="宋体" w:cs="宋体"/>
                <w:color w:val="auto"/>
                <w:sz w:val="18"/>
                <w:szCs w:val="18"/>
              </w:rPr>
            </w:pPr>
            <w:r>
              <w:rPr>
                <w:rFonts w:hint="eastAsia" w:hAnsi="宋体" w:cs="宋体"/>
                <w:color w:val="auto"/>
                <w:sz w:val="18"/>
                <w:szCs w:val="18"/>
              </w:rPr>
              <w:t>2.00&lt;</w:t>
            </w:r>
            <w:r>
              <w:rPr>
                <w:rFonts w:hint="eastAsia" w:hAnsi="宋体" w:cs="宋体"/>
                <w:i/>
                <w:iCs/>
                <w:color w:val="auto"/>
                <w:sz w:val="18"/>
                <w:szCs w:val="18"/>
              </w:rPr>
              <w:t>DCR</w:t>
            </w:r>
            <w:r>
              <w:rPr>
                <w:rFonts w:hint="eastAsia" w:hAnsi="宋体" w:cs="宋体"/>
                <w:color w:val="auto"/>
                <w:sz w:val="18"/>
                <w:szCs w:val="18"/>
              </w:rPr>
              <w:t>≤2.50</w:t>
            </w:r>
          </w:p>
        </w:tc>
        <w:tc>
          <w:tcPr>
            <w:tcW w:w="5391" w:type="dxa"/>
          </w:tcPr>
          <w:p>
            <w:pPr>
              <w:pStyle w:val="241"/>
              <w:tabs>
                <w:tab w:val="left" w:pos="850"/>
              </w:tabs>
              <w:spacing w:before="52"/>
              <w:ind w:left="180" w:right="145"/>
              <w:jc w:val="center"/>
              <w:rPr>
                <w:rFonts w:hint="default" w:eastAsia="宋体"/>
                <w:color w:val="auto"/>
                <w:sz w:val="18"/>
                <w:lang w:val="en-US" w:eastAsia="zh-CN"/>
              </w:rPr>
            </w:pPr>
            <w:r>
              <w:rPr>
                <w:rFonts w:hint="eastAsia"/>
                <w:color w:val="auto"/>
                <w:spacing w:val="-5"/>
                <w:sz w:val="18"/>
                <w:lang w:val="en-US" w:eastAsia="zh-CN"/>
              </w:rPr>
              <w:t>56</w:t>
            </w:r>
          </w:p>
        </w:tc>
      </w:tr>
      <w:bookmarkEnd w:id="52"/>
    </w:tbl>
    <w:p>
      <w:pPr>
        <w:pStyle w:val="105"/>
        <w:spacing w:before="120" w:after="120"/>
      </w:pPr>
      <w:bookmarkStart w:id="53" w:name="OLE_LINK19"/>
      <w:r>
        <w:rPr>
          <w:rFonts w:hint="eastAsia"/>
        </w:rPr>
        <w:t>待机功率</w:t>
      </w:r>
      <w:bookmarkEnd w:id="53"/>
    </w:p>
    <w:p>
      <w:pPr>
        <w:pStyle w:val="165"/>
        <w:rPr>
          <w:rFonts w:hint="eastAsia"/>
        </w:rPr>
      </w:pPr>
      <w:r>
        <w:rPr>
          <w:rFonts w:hint="eastAsia"/>
        </w:rPr>
        <w:t>不带传感器、WIFI、蓝牙等通信协议(或这些功能在测试时可以关闭的，测试关闭这些功能后的产品)，</w:t>
      </w:r>
      <w:bookmarkStart w:id="54" w:name="OLE_LINK12"/>
      <w:r>
        <w:rPr>
          <w:rFonts w:hint="eastAsia"/>
        </w:rPr>
        <w:t>则其待机功率应不大于</w:t>
      </w:r>
      <w:r>
        <w:rPr>
          <w:rFonts w:hint="eastAsia"/>
          <w:color w:val="FF0000"/>
        </w:rPr>
        <w:t>0.8 W</w:t>
      </w:r>
      <w:r>
        <w:rPr>
          <w:rFonts w:hint="eastAsia"/>
        </w:rPr>
        <w:t>且不大于明示值</w:t>
      </w:r>
      <w:bookmarkEnd w:id="54"/>
      <w:r>
        <w:rPr>
          <w:rFonts w:hint="eastAsia"/>
        </w:rPr>
        <w:t>。</w:t>
      </w:r>
    </w:p>
    <w:p>
      <w:pPr>
        <w:pStyle w:val="165"/>
        <w:rPr>
          <w:rFonts w:hint="eastAsia"/>
        </w:rPr>
      </w:pPr>
      <w:r>
        <w:rPr>
          <w:rFonts w:hint="eastAsia"/>
        </w:rPr>
        <w:t>带有传感器、WIFI、蓝牙等通信协议,则其待机功率应不大于</w:t>
      </w:r>
      <w:r>
        <w:rPr>
          <w:rFonts w:hint="default"/>
          <w:color w:val="FF0000"/>
          <w:lang w:val="en-US"/>
        </w:rPr>
        <w:t>2</w:t>
      </w:r>
      <w:r>
        <w:rPr>
          <w:rFonts w:hint="eastAsia"/>
          <w:color w:val="FF0000"/>
        </w:rPr>
        <w:t>.</w:t>
      </w:r>
      <w:r>
        <w:rPr>
          <w:rFonts w:hint="default"/>
          <w:color w:val="FF0000"/>
          <w:lang w:val="en-US"/>
        </w:rPr>
        <w:t>0</w:t>
      </w:r>
      <w:r>
        <w:rPr>
          <w:rFonts w:hint="eastAsia"/>
          <w:color w:val="FF0000"/>
        </w:rPr>
        <w:t xml:space="preserve"> </w:t>
      </w:r>
      <w:r>
        <w:rPr>
          <w:rFonts w:hint="eastAsia"/>
        </w:rPr>
        <w:t>W且不大于明示值。</w:t>
      </w:r>
    </w:p>
    <w:p>
      <w:pPr>
        <w:pStyle w:val="105"/>
        <w:spacing w:before="120" w:after="120"/>
      </w:pPr>
      <w:r>
        <w:rPr>
          <w:rFonts w:hint="eastAsia"/>
        </w:rPr>
        <w:t>脚轮整机力学性能</w:t>
      </w:r>
    </w:p>
    <w:p>
      <w:pPr>
        <w:pStyle w:val="65"/>
        <w:spacing w:before="120" w:after="120"/>
        <w:rPr>
          <w:rFonts w:hint="eastAsia"/>
        </w:rPr>
      </w:pPr>
      <w:bookmarkStart w:id="55" w:name="OLE_LINK7"/>
      <w:r>
        <w:rPr>
          <w:rFonts w:hint="eastAsia"/>
        </w:rPr>
        <w:t>抗冲击性能</w:t>
      </w:r>
    </w:p>
    <w:bookmarkEnd w:id="55"/>
    <w:p>
      <w:pPr>
        <w:pStyle w:val="56"/>
        <w:ind w:firstLine="420"/>
        <w:rPr>
          <w:szCs w:val="21"/>
        </w:rPr>
      </w:pPr>
      <w:bookmarkStart w:id="56" w:name="OLE_LINK8"/>
      <w:r>
        <w:t>带有脚轮的除湿机</w:t>
      </w:r>
      <w:bookmarkEnd w:id="56"/>
      <w:r>
        <w:rPr>
          <w:rFonts w:hint="eastAsia"/>
          <w:szCs w:val="21"/>
        </w:rPr>
        <w:t>进行抗冲击性能试验后，脚轮不应有破损或异响，零部件不应出现松动，除湿机所具有的功能不应受到损伤。</w:t>
      </w:r>
    </w:p>
    <w:p>
      <w:pPr>
        <w:pStyle w:val="65"/>
        <w:spacing w:before="120" w:after="120"/>
        <w:rPr>
          <w:rFonts w:hint="eastAsia"/>
        </w:rPr>
      </w:pPr>
      <w:r>
        <w:rPr>
          <w:rFonts w:hint="eastAsia"/>
          <w:szCs w:val="21"/>
        </w:rPr>
        <w:t xml:space="preserve"> </w:t>
      </w:r>
      <w:r>
        <w:rPr>
          <w:rFonts w:hint="eastAsia"/>
        </w:rPr>
        <w:t>制动性能</w:t>
      </w:r>
    </w:p>
    <w:p>
      <w:pPr>
        <w:pStyle w:val="239"/>
        <w:ind w:left="0" w:firstLine="420" w:firstLineChars="200"/>
        <w:jc w:val="left"/>
        <w:rPr>
          <w:szCs w:val="21"/>
        </w:rPr>
      </w:pPr>
      <w:r>
        <w:t>带有脚轮的除湿机</w:t>
      </w:r>
      <w:r>
        <w:rPr>
          <w:rFonts w:hint="eastAsia"/>
          <w:szCs w:val="21"/>
        </w:rPr>
        <w:t>若脚</w:t>
      </w:r>
      <w:r>
        <w:rPr>
          <w:szCs w:val="21"/>
        </w:rPr>
        <w:t>轮具有锁定功能</w:t>
      </w:r>
      <w:r>
        <w:rPr>
          <w:rFonts w:hint="eastAsia"/>
          <w:szCs w:val="21"/>
        </w:rPr>
        <w:t>，</w:t>
      </w:r>
      <w:r>
        <w:rPr>
          <w:szCs w:val="21"/>
        </w:rPr>
        <w:t>则除湿机应进行制动性能试验</w:t>
      </w:r>
      <w:r>
        <w:rPr>
          <w:rFonts w:hint="eastAsia"/>
          <w:szCs w:val="21"/>
        </w:rPr>
        <w:t>。</w:t>
      </w:r>
      <w:r>
        <w:rPr>
          <w:szCs w:val="21"/>
        </w:rPr>
        <w:t>试验过程中</w:t>
      </w:r>
      <w:r>
        <w:rPr>
          <w:rFonts w:hint="eastAsia"/>
          <w:szCs w:val="21"/>
        </w:rPr>
        <w:t>，</w:t>
      </w:r>
      <w:r>
        <w:rPr>
          <w:szCs w:val="21"/>
        </w:rPr>
        <w:t>脚轮不应滚动。</w:t>
      </w:r>
    </w:p>
    <w:p>
      <w:pPr>
        <w:pStyle w:val="65"/>
        <w:spacing w:before="120" w:after="120"/>
        <w:rPr>
          <w:rFonts w:hint="eastAsia"/>
        </w:rPr>
      </w:pPr>
      <w:r>
        <w:rPr>
          <w:rFonts w:hint="eastAsia"/>
        </w:rPr>
        <w:t>动载荷试验</w:t>
      </w:r>
    </w:p>
    <w:p>
      <w:pPr>
        <w:pStyle w:val="56"/>
        <w:ind w:firstLine="420"/>
      </w:pPr>
      <w:r>
        <w:t>带有脚轮的除湿机在进行动载荷试验后</w:t>
      </w:r>
      <w:r>
        <w:rPr>
          <w:rFonts w:hint="eastAsia"/>
        </w:rPr>
        <w:t>，</w:t>
      </w:r>
      <w:r>
        <w:t>其脚轮不应有破损、卡死或异响</w:t>
      </w:r>
      <w:r>
        <w:rPr>
          <w:rFonts w:hint="eastAsia"/>
        </w:rPr>
        <w:t>，</w:t>
      </w:r>
      <w:r>
        <w:t>零部件不应松动</w:t>
      </w:r>
      <w:r>
        <w:rPr>
          <w:rFonts w:hint="eastAsia"/>
        </w:rPr>
        <w:t>，</w:t>
      </w:r>
      <w:r>
        <w:t>所具有的功能不应受到损伤。</w:t>
      </w:r>
    </w:p>
    <w:p>
      <w:pPr>
        <w:pStyle w:val="105"/>
        <w:spacing w:before="120" w:after="120"/>
      </w:pPr>
      <w:bookmarkStart w:id="57" w:name="OLE_LINK20"/>
      <w:r>
        <w:rPr>
          <w:rFonts w:hint="eastAsia"/>
        </w:rPr>
        <w:t>耐候性能</w:t>
      </w:r>
      <w:bookmarkEnd w:id="57"/>
    </w:p>
    <w:p>
      <w:pPr>
        <w:pStyle w:val="65"/>
        <w:spacing w:before="120" w:after="120"/>
        <w:rPr>
          <w:rFonts w:hint="eastAsia"/>
        </w:rPr>
      </w:pPr>
      <w:r>
        <w:rPr>
          <w:rFonts w:hint="eastAsia"/>
        </w:rPr>
        <w:t>耐腐蚀性</w:t>
      </w:r>
    </w:p>
    <w:p>
      <w:pPr>
        <w:pStyle w:val="165"/>
        <w:numPr>
          <w:ilvl w:val="2"/>
          <w:numId w:val="0"/>
        </w:numPr>
        <w:ind w:firstLine="420" w:firstLineChars="200"/>
        <w:rPr>
          <w:rFonts w:hint="eastAsia"/>
        </w:rPr>
      </w:pPr>
      <w:r>
        <w:rPr>
          <w:rFonts w:hint="eastAsia"/>
        </w:rPr>
        <w:t>除湿机的电镀件和涂装件应具有足够的耐腐蚀性。经盐雾试验后，金属镀层上的每个锈点或锈迹面积应不超过1 mm</w:t>
      </w:r>
      <w:r>
        <w:rPr>
          <w:rFonts w:hint="eastAsia"/>
          <w:vertAlign w:val="superscript"/>
        </w:rPr>
        <w:t>2</w:t>
      </w:r>
      <w:r>
        <w:rPr>
          <w:rFonts w:hint="eastAsia"/>
        </w:rPr>
        <w:t>，每100 cm</w:t>
      </w:r>
      <w:r>
        <w:rPr>
          <w:rFonts w:hint="eastAsia"/>
          <w:vertAlign w:val="superscript"/>
        </w:rPr>
        <w:t>2</w:t>
      </w:r>
      <w:r>
        <w:rPr>
          <w:rFonts w:hint="eastAsia"/>
        </w:rPr>
        <w:t>试件镀层应不超过2个锈点或锈迹；试件小于100 cm</w:t>
      </w:r>
      <w:r>
        <w:rPr>
          <w:rFonts w:hint="eastAsia"/>
          <w:vertAlign w:val="superscript"/>
        </w:rPr>
        <w:t>2</w:t>
      </w:r>
      <w:r>
        <w:rPr>
          <w:rFonts w:hint="eastAsia"/>
        </w:rPr>
        <w:t xml:space="preserve"> 时不应有锈点或锈迹。</w:t>
      </w:r>
    </w:p>
    <w:p>
      <w:pPr>
        <w:pStyle w:val="65"/>
        <w:spacing w:before="120" w:after="120"/>
        <w:rPr>
          <w:rFonts w:hint="eastAsia"/>
        </w:rPr>
      </w:pPr>
      <w:r>
        <w:rPr>
          <w:rFonts w:hint="eastAsia"/>
        </w:rPr>
        <w:t>漆膜附着力</w:t>
      </w:r>
    </w:p>
    <w:p>
      <w:pPr>
        <w:pStyle w:val="165"/>
        <w:numPr>
          <w:ilvl w:val="2"/>
          <w:numId w:val="0"/>
        </w:numPr>
        <w:ind w:firstLine="420" w:firstLineChars="200"/>
        <w:rPr>
          <w:rFonts w:hint="eastAsia"/>
        </w:rPr>
      </w:pPr>
      <w:r>
        <w:rPr>
          <w:rFonts w:hint="eastAsia"/>
        </w:rPr>
        <w:drawing>
          <wp:anchor distT="0" distB="0" distL="0" distR="0" simplePos="0" relativeHeight="251661312" behindDoc="0" locked="0" layoutInCell="1" allowOverlap="1">
            <wp:simplePos x="0" y="0"/>
            <wp:positionH relativeFrom="page">
              <wp:posOffset>1638935</wp:posOffset>
            </wp:positionH>
            <wp:positionV relativeFrom="paragraph">
              <wp:posOffset>360680</wp:posOffset>
            </wp:positionV>
            <wp:extent cx="190500" cy="190500"/>
            <wp:effectExtent l="0" t="0" r="0" b="0"/>
            <wp:wrapNone/>
            <wp:docPr id="3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png"/>
                    <pic:cNvPicPr>
                      <a:picLocks noChangeAspect="1"/>
                    </pic:cNvPicPr>
                  </pic:nvPicPr>
                  <pic:blipFill>
                    <a:blip r:embed="rId15" cstate="print"/>
                    <a:stretch>
                      <a:fillRect/>
                    </a:stretch>
                  </pic:blipFill>
                  <pic:spPr>
                    <a:xfrm>
                      <a:off x="0" y="0"/>
                      <a:ext cx="190500" cy="190500"/>
                    </a:xfrm>
                    <a:prstGeom prst="rect">
                      <a:avLst/>
                    </a:prstGeom>
                  </pic:spPr>
                </pic:pic>
              </a:graphicData>
            </a:graphic>
          </wp:anchor>
        </w:drawing>
      </w:r>
      <w:r>
        <w:rPr>
          <w:rFonts w:hint="eastAsia"/>
        </w:rPr>
        <w:t>除湿机涂装件的涂层应牢固，经涂层附着力试验后，涂层附着情况应达到GB/T 9286—2021规定的2级或更优。</w:t>
      </w:r>
    </w:p>
    <w:p>
      <w:pPr>
        <w:pStyle w:val="65"/>
        <w:spacing w:before="120" w:after="120"/>
        <w:rPr>
          <w:rFonts w:hint="eastAsia"/>
        </w:rPr>
      </w:pPr>
      <w:r>
        <w:rPr>
          <w:rFonts w:hint="eastAsia"/>
        </w:rPr>
        <w:t>塑料件老化</w:t>
      </w:r>
    </w:p>
    <w:p>
      <w:pPr>
        <w:pStyle w:val="165"/>
        <w:numPr>
          <w:ilvl w:val="2"/>
          <w:numId w:val="0"/>
        </w:numPr>
        <w:ind w:firstLine="420" w:firstLineChars="200"/>
        <w:rPr>
          <w:rFonts w:hint="eastAsia"/>
        </w:rPr>
      </w:pPr>
      <w:r>
        <w:rPr>
          <w:rFonts w:hint="eastAsia"/>
        </w:rPr>
        <w:t>对带有室外机的除湿机，室外机外露塑料件进行老化试验后应满足JB/T 10359—2013中3.5的要求。</w:t>
      </w:r>
    </w:p>
    <w:p>
      <w:pPr>
        <w:pStyle w:val="105"/>
        <w:spacing w:before="120" w:after="120"/>
      </w:pPr>
      <w:r>
        <w:rPr>
          <w:rFonts w:hint="eastAsia"/>
        </w:rPr>
        <w:t>洁净空气量</w:t>
      </w:r>
    </w:p>
    <w:p>
      <w:pPr>
        <w:pStyle w:val="56"/>
        <w:ind w:firstLine="420"/>
        <w:rPr>
          <w:rFonts w:ascii="黑体" w:eastAsia="黑体"/>
        </w:rPr>
      </w:pPr>
      <w:bookmarkStart w:id="58" w:name="OLE_LINK22"/>
      <w:r>
        <w:t>具有净化功能的除湿机</w:t>
      </w:r>
      <w:r>
        <w:rPr>
          <w:rFonts w:hint="eastAsia"/>
        </w:rPr>
        <w:t>，</w:t>
      </w:r>
      <w:r>
        <w:t>其洁净空气量的实测值不应小于明示值的90%</w:t>
      </w:r>
      <w:bookmarkEnd w:id="58"/>
      <w:r>
        <w:t>。</w:t>
      </w:r>
    </w:p>
    <w:p>
      <w:pPr>
        <w:pStyle w:val="105"/>
        <w:spacing w:before="120" w:after="120"/>
      </w:pPr>
      <w:bookmarkStart w:id="59" w:name="OLE_LINK2"/>
      <w:r>
        <w:rPr>
          <w:rFonts w:hint="eastAsia"/>
        </w:rPr>
        <w:t>除菌性能</w:t>
      </w:r>
      <w:bookmarkEnd w:id="59"/>
    </w:p>
    <w:p>
      <w:pPr>
        <w:pStyle w:val="56"/>
        <w:ind w:firstLine="420"/>
        <w:rPr>
          <w:color w:val="auto"/>
        </w:rPr>
      </w:pPr>
      <w:bookmarkStart w:id="60" w:name="OLE_LINK21"/>
      <w:r>
        <w:t>具有</w:t>
      </w:r>
      <w:bookmarkStart w:id="68" w:name="_GoBack"/>
      <w:r>
        <w:rPr>
          <w:color w:val="auto"/>
        </w:rPr>
        <w:t>除菌功能的除湿机</w:t>
      </w:r>
      <w:r>
        <w:rPr>
          <w:rFonts w:hint="eastAsia"/>
          <w:color w:val="auto"/>
        </w:rPr>
        <w:t>的</w:t>
      </w:r>
      <w:r>
        <w:rPr>
          <w:color w:val="auto"/>
        </w:rPr>
        <w:t>除菌率</w:t>
      </w:r>
      <w:r>
        <w:rPr>
          <w:rFonts w:hint="eastAsia"/>
          <w:color w:val="auto"/>
        </w:rPr>
        <w:t>不应小于8</w:t>
      </w:r>
      <w:r>
        <w:rPr>
          <w:rFonts w:hint="eastAsia"/>
          <w:color w:val="auto"/>
          <w:lang w:val="en-US" w:eastAsia="zh-CN"/>
        </w:rPr>
        <w:t>0</w:t>
      </w:r>
      <w:r>
        <w:rPr>
          <w:rFonts w:hint="eastAsia"/>
          <w:color w:val="auto"/>
        </w:rPr>
        <w:t>%，且</w:t>
      </w:r>
      <w:r>
        <w:rPr>
          <w:color w:val="auto"/>
        </w:rPr>
        <w:t>不应小于明示值的90%</w:t>
      </w:r>
      <w:bookmarkEnd w:id="60"/>
      <w:r>
        <w:rPr>
          <w:color w:val="auto"/>
        </w:rPr>
        <w:t>。</w:t>
      </w:r>
    </w:p>
    <w:p>
      <w:pPr>
        <w:pStyle w:val="105"/>
        <w:spacing w:before="120" w:after="120"/>
        <w:rPr>
          <w:color w:val="auto"/>
        </w:rPr>
      </w:pPr>
      <w:bookmarkStart w:id="61" w:name="OLE_LINK10"/>
      <w:r>
        <w:rPr>
          <w:rFonts w:hint="eastAsia"/>
          <w:color w:val="auto"/>
        </w:rPr>
        <w:t>抗菌性能</w:t>
      </w:r>
      <w:bookmarkEnd w:id="61"/>
    </w:p>
    <w:p>
      <w:pPr>
        <w:pStyle w:val="56"/>
        <w:ind w:firstLine="420"/>
        <w:rPr>
          <w:rFonts w:hint="eastAsia" w:hAnsi="宋体"/>
          <w:color w:val="auto"/>
          <w:kern w:val="2"/>
          <w:szCs w:val="22"/>
        </w:rPr>
      </w:pPr>
      <w:bookmarkStart w:id="62" w:name="OLE_LINK26"/>
      <w:r>
        <w:rPr>
          <w:rFonts w:hint="eastAsia" w:hAnsi="宋体" w:cstheme="minorBidi"/>
          <w:color w:val="auto"/>
          <w:kern w:val="2"/>
          <w:szCs w:val="22"/>
        </w:rPr>
        <w:t>除湿机</w:t>
      </w:r>
      <w:r>
        <w:rPr>
          <w:rFonts w:hint="eastAsia" w:hAnsi="宋体" w:cstheme="minorBidi"/>
          <w:color w:val="auto"/>
          <w:kern w:val="2"/>
          <w:szCs w:val="22"/>
          <w:lang w:val="en-US" w:eastAsia="zh-CN"/>
        </w:rPr>
        <w:t>明示</w:t>
      </w:r>
      <w:r>
        <w:rPr>
          <w:rFonts w:hint="eastAsia" w:hAnsi="宋体" w:cstheme="minorBidi"/>
          <w:color w:val="auto"/>
          <w:kern w:val="2"/>
          <w:szCs w:val="22"/>
        </w:rPr>
        <w:t>使用</w:t>
      </w:r>
      <w:r>
        <w:rPr>
          <w:rFonts w:hint="eastAsia" w:hAnsi="宋体" w:cstheme="minorBidi"/>
          <w:color w:val="auto"/>
          <w:kern w:val="2"/>
          <w:szCs w:val="22"/>
          <w:lang w:eastAsia="zh-CN"/>
        </w:rPr>
        <w:t>的</w:t>
      </w:r>
      <w:r>
        <w:rPr>
          <w:rFonts w:hint="eastAsia" w:hAnsi="宋体" w:cstheme="minorBidi"/>
          <w:color w:val="auto"/>
          <w:kern w:val="2"/>
          <w:szCs w:val="22"/>
        </w:rPr>
        <w:t>抗细菌、霉菌材料</w:t>
      </w:r>
      <w:r>
        <w:rPr>
          <w:rFonts w:hint="eastAsia" w:hAnsi="宋体" w:cstheme="minorBidi"/>
          <w:color w:val="auto"/>
          <w:kern w:val="2"/>
          <w:szCs w:val="22"/>
          <w:lang w:eastAsia="zh-CN"/>
        </w:rPr>
        <w:t>，其</w:t>
      </w:r>
      <w:r>
        <w:rPr>
          <w:rFonts w:hint="eastAsia" w:hAnsi="宋体" w:cstheme="minorBidi"/>
          <w:color w:val="auto"/>
          <w:kern w:val="2"/>
          <w:szCs w:val="22"/>
        </w:rPr>
        <w:t>抗菌率不应小于9</w:t>
      </w:r>
      <w:r>
        <w:rPr>
          <w:rFonts w:hint="default" w:hAnsi="宋体" w:cstheme="minorBidi"/>
          <w:color w:val="auto"/>
          <w:kern w:val="2"/>
          <w:szCs w:val="22"/>
          <w:lang w:val="en-US"/>
        </w:rPr>
        <w:t>2</w:t>
      </w:r>
      <w:r>
        <w:rPr>
          <w:rFonts w:hint="eastAsia" w:hAnsi="宋体" w:cstheme="minorBidi"/>
          <w:color w:val="auto"/>
          <w:kern w:val="2"/>
          <w:szCs w:val="22"/>
        </w:rPr>
        <w:t>%，防霉等级不应低于</w:t>
      </w:r>
      <w:r>
        <w:rPr>
          <w:rFonts w:hint="default" w:hAnsi="宋体" w:cstheme="minorBidi"/>
          <w:color w:val="auto"/>
          <w:kern w:val="2"/>
          <w:szCs w:val="22"/>
          <w:lang w:val="en-US"/>
        </w:rPr>
        <w:t>1</w:t>
      </w:r>
      <w:r>
        <w:rPr>
          <w:rFonts w:hint="eastAsia" w:hAnsi="宋体" w:cstheme="minorBidi"/>
          <w:color w:val="auto"/>
          <w:kern w:val="2"/>
          <w:szCs w:val="22"/>
        </w:rPr>
        <w:t>级</w:t>
      </w:r>
      <w:bookmarkEnd w:id="62"/>
      <w:r>
        <w:rPr>
          <w:rFonts w:hint="eastAsia" w:hAnsi="宋体" w:cstheme="minorBidi"/>
          <w:color w:val="auto"/>
          <w:kern w:val="2"/>
          <w:szCs w:val="22"/>
        </w:rPr>
        <w:t>。</w:t>
      </w:r>
    </w:p>
    <w:bookmarkEnd w:id="68"/>
    <w:p>
      <w:pPr>
        <w:pStyle w:val="104"/>
        <w:spacing w:before="240" w:after="240"/>
        <w:rPr>
          <w:rFonts w:hint="eastAsia"/>
        </w:rPr>
      </w:pPr>
      <w:r>
        <w:rPr>
          <w:rFonts w:hint="eastAsia"/>
        </w:rPr>
        <w:t>试验方法</w:t>
      </w:r>
    </w:p>
    <w:p>
      <w:pPr>
        <w:pStyle w:val="105"/>
        <w:spacing w:before="120" w:after="120"/>
      </w:pPr>
      <w:r>
        <w:rPr>
          <w:rFonts w:hint="eastAsia"/>
        </w:rPr>
        <w:t>试验条件</w:t>
      </w:r>
    </w:p>
    <w:p>
      <w:pPr>
        <w:pStyle w:val="56"/>
        <w:ind w:firstLine="420"/>
      </w:pPr>
      <w:r>
        <w:rPr>
          <w:rFonts w:hint="eastAsia" w:cstheme="minorBidi"/>
        </w:rPr>
        <w:t>按GB/T 19411—2024中第6.1的规定。</w:t>
      </w:r>
    </w:p>
    <w:p>
      <w:pPr>
        <w:pStyle w:val="105"/>
        <w:spacing w:before="120" w:after="120"/>
      </w:pPr>
      <w:r>
        <w:rPr>
          <w:rFonts w:hint="eastAsia"/>
        </w:rPr>
        <w:t>安装要求</w:t>
      </w:r>
    </w:p>
    <w:p>
      <w:pPr>
        <w:pStyle w:val="56"/>
        <w:ind w:firstLine="420"/>
      </w:pPr>
      <w:r>
        <w:rPr>
          <w:rFonts w:hint="eastAsia" w:cstheme="minorBidi"/>
        </w:rPr>
        <w:t>按GB/T 19411—2024中第6.2的规定。</w:t>
      </w:r>
    </w:p>
    <w:p>
      <w:pPr>
        <w:pStyle w:val="105"/>
        <w:spacing w:before="120" w:after="120"/>
      </w:pPr>
      <w:r>
        <w:rPr>
          <w:rFonts w:hint="eastAsia"/>
        </w:rPr>
        <w:t>数据处理</w:t>
      </w:r>
    </w:p>
    <w:p>
      <w:pPr>
        <w:pStyle w:val="56"/>
        <w:ind w:firstLine="420"/>
      </w:pPr>
      <w:bookmarkStart w:id="63" w:name="OLE_LINK4"/>
      <w:r>
        <w:rPr>
          <w:rFonts w:hint="eastAsia" w:cstheme="minorBidi"/>
        </w:rPr>
        <w:t>按GB/T 19411—2024中第6.3</w:t>
      </w:r>
      <w:bookmarkEnd w:id="63"/>
      <w:r>
        <w:rPr>
          <w:rFonts w:hint="eastAsia" w:cstheme="minorBidi"/>
        </w:rPr>
        <w:t>的规定。</w:t>
      </w:r>
    </w:p>
    <w:p>
      <w:pPr>
        <w:pStyle w:val="105"/>
        <w:spacing w:before="120" w:after="120"/>
      </w:pPr>
      <w:r>
        <w:rPr>
          <w:rFonts w:hint="eastAsia"/>
        </w:rPr>
        <w:t>外观</w:t>
      </w:r>
    </w:p>
    <w:p>
      <w:pPr>
        <w:pStyle w:val="56"/>
        <w:ind w:firstLine="420"/>
      </w:pPr>
      <w:r>
        <w:rPr>
          <w:rFonts w:hint="eastAsia"/>
        </w:rPr>
        <w:t>以目测手感进行。</w:t>
      </w:r>
    </w:p>
    <w:p>
      <w:pPr>
        <w:pStyle w:val="105"/>
        <w:spacing w:before="120" w:after="120"/>
      </w:pPr>
      <w:r>
        <w:rPr>
          <w:rFonts w:hint="eastAsia"/>
        </w:rPr>
        <w:t>有害物质含量</w:t>
      </w:r>
    </w:p>
    <w:p>
      <w:pPr>
        <w:pStyle w:val="165"/>
        <w:numPr>
          <w:ilvl w:val="2"/>
          <w:numId w:val="0"/>
        </w:numPr>
        <w:ind w:firstLine="420" w:firstLineChars="200"/>
        <w:rPr>
          <w:rFonts w:hint="eastAsia"/>
          <w:sz w:val="19"/>
        </w:rPr>
      </w:pPr>
      <w:r>
        <w:rPr>
          <w:rFonts w:hint="eastAsia"/>
          <w:kern w:val="2"/>
          <w:szCs w:val="22"/>
        </w:rPr>
        <w:t>按</w:t>
      </w:r>
      <w:r>
        <w:rPr>
          <w:kern w:val="2"/>
          <w:szCs w:val="22"/>
        </w:rPr>
        <w:t>GB/T 26572</w:t>
      </w:r>
      <w:r>
        <w:rPr>
          <w:rFonts w:hint="eastAsia"/>
          <w:kern w:val="2"/>
          <w:szCs w:val="22"/>
        </w:rPr>
        <w:t>和</w:t>
      </w:r>
      <w:r>
        <w:rPr>
          <w:kern w:val="2"/>
          <w:szCs w:val="22"/>
        </w:rPr>
        <w:t>GB/T 26125</w:t>
      </w:r>
      <w:r>
        <w:rPr>
          <w:rFonts w:hint="eastAsia"/>
          <w:kern w:val="2"/>
          <w:szCs w:val="22"/>
        </w:rPr>
        <w:t>规定的试验</w:t>
      </w:r>
      <w:r>
        <w:rPr>
          <w:rFonts w:hint="eastAsia"/>
        </w:rPr>
        <w:t>方法</w:t>
      </w:r>
      <w:r>
        <w:rPr>
          <w:rFonts w:hint="eastAsia"/>
          <w:kern w:val="2"/>
          <w:szCs w:val="22"/>
        </w:rPr>
        <w:t>进行</w:t>
      </w:r>
      <w:r>
        <w:rPr>
          <w:rFonts w:hint="eastAsia"/>
        </w:rPr>
        <w:t>。</w:t>
      </w:r>
    </w:p>
    <w:p>
      <w:pPr>
        <w:pStyle w:val="105"/>
        <w:spacing w:before="120" w:after="120"/>
      </w:pPr>
      <w:r>
        <w:rPr>
          <w:rFonts w:hint="eastAsia"/>
        </w:rPr>
        <w:t>试运转</w:t>
      </w:r>
    </w:p>
    <w:p>
      <w:pPr>
        <w:pStyle w:val="56"/>
        <w:ind w:firstLine="420"/>
      </w:pPr>
      <w:bookmarkStart w:id="64" w:name="OLE_LINK6"/>
      <w:r>
        <w:rPr>
          <w:rFonts w:hint="eastAsia" w:cstheme="minorBidi"/>
        </w:rPr>
        <w:t>按GB/T 19411—2024中第6.4规定的试验方法进行。</w:t>
      </w:r>
      <w:bookmarkEnd w:id="64"/>
    </w:p>
    <w:p>
      <w:pPr>
        <w:pStyle w:val="105"/>
        <w:spacing w:before="120" w:after="120"/>
      </w:pPr>
      <w:r>
        <w:rPr>
          <w:rFonts w:hint="eastAsia"/>
        </w:rPr>
        <w:t>制冷系统密封性能</w:t>
      </w:r>
    </w:p>
    <w:p>
      <w:pPr>
        <w:pStyle w:val="56"/>
        <w:ind w:firstLine="420"/>
      </w:pPr>
      <w:r>
        <w:rPr>
          <w:rFonts w:hint="eastAsia" w:cstheme="minorBidi"/>
        </w:rPr>
        <w:t>按GB/T 19411—2024中第6.5规定的试验方法进行。</w:t>
      </w:r>
    </w:p>
    <w:p>
      <w:pPr>
        <w:pStyle w:val="105"/>
        <w:spacing w:before="120" w:after="120"/>
      </w:pPr>
      <w:r>
        <w:rPr>
          <w:rFonts w:hint="eastAsia"/>
        </w:rPr>
        <w:t>名义工况除湿性能</w:t>
      </w:r>
    </w:p>
    <w:p>
      <w:pPr>
        <w:pStyle w:val="56"/>
        <w:ind w:firstLine="420"/>
      </w:pPr>
      <w:r>
        <w:rPr>
          <w:rFonts w:hint="eastAsia" w:cstheme="minorBidi"/>
        </w:rPr>
        <w:t>按GB/T 19411—2024中第6.6规定的试验方法进行。</w:t>
      </w:r>
    </w:p>
    <w:p>
      <w:pPr>
        <w:pStyle w:val="105"/>
        <w:spacing w:before="120" w:after="120"/>
        <w:rPr>
          <w:rFonts w:hint="eastAsia"/>
        </w:rPr>
      </w:pPr>
      <w:r>
        <w:rPr>
          <w:rFonts w:hint="eastAsia"/>
        </w:rPr>
        <w:t>高温工况除湿性能</w:t>
      </w:r>
    </w:p>
    <w:p>
      <w:pPr>
        <w:pStyle w:val="56"/>
        <w:ind w:firstLine="420"/>
      </w:pPr>
      <w:r>
        <w:rPr>
          <w:rFonts w:hint="eastAsia" w:cstheme="minorBidi"/>
        </w:rPr>
        <w:t>按GB/T 19411—2024中第6.7规定的试验方法进行。</w:t>
      </w:r>
    </w:p>
    <w:p>
      <w:pPr>
        <w:pStyle w:val="105"/>
        <w:spacing w:before="120" w:after="120"/>
        <w:rPr>
          <w:rFonts w:hint="eastAsia"/>
        </w:rPr>
      </w:pPr>
      <w:r>
        <w:rPr>
          <w:rFonts w:hint="eastAsia"/>
        </w:rPr>
        <w:t>最大负荷运行</w:t>
      </w:r>
    </w:p>
    <w:p>
      <w:pPr>
        <w:pStyle w:val="56"/>
        <w:ind w:firstLine="420"/>
      </w:pPr>
      <w:r>
        <w:rPr>
          <w:rFonts w:hint="eastAsia" w:cstheme="minorBidi"/>
        </w:rPr>
        <w:t>按GB/T 19411—2024中第6.8规定的试验方法进行。</w:t>
      </w:r>
    </w:p>
    <w:p>
      <w:pPr>
        <w:pStyle w:val="105"/>
        <w:spacing w:before="120" w:after="120"/>
        <w:rPr>
          <w:rFonts w:hint="eastAsia"/>
        </w:rPr>
      </w:pPr>
      <w:r>
        <w:rPr>
          <w:rFonts w:hint="eastAsia"/>
        </w:rPr>
        <w:t>低温除湿运行</w:t>
      </w:r>
    </w:p>
    <w:p>
      <w:pPr>
        <w:pStyle w:val="56"/>
        <w:ind w:firstLine="420"/>
      </w:pPr>
      <w:r>
        <w:rPr>
          <w:rFonts w:hint="eastAsia" w:cstheme="minorBidi"/>
        </w:rPr>
        <w:t>按GB/T 19411—2024中第6.9规定的试验方法进行。</w:t>
      </w:r>
    </w:p>
    <w:p>
      <w:pPr>
        <w:pStyle w:val="105"/>
        <w:spacing w:before="120" w:after="120"/>
        <w:rPr>
          <w:rFonts w:hint="eastAsia"/>
        </w:rPr>
      </w:pPr>
      <w:r>
        <w:rPr>
          <w:rFonts w:hint="eastAsia"/>
        </w:rPr>
        <w:t>凝露和凝结水排除</w:t>
      </w:r>
    </w:p>
    <w:p>
      <w:pPr>
        <w:pStyle w:val="56"/>
        <w:ind w:firstLine="420"/>
      </w:pPr>
      <w:r>
        <w:rPr>
          <w:rFonts w:hint="eastAsia" w:cstheme="minorBidi"/>
        </w:rPr>
        <w:t>按GB/T 19411—2024中第6.10规定的试验方法进行。</w:t>
      </w:r>
    </w:p>
    <w:p>
      <w:pPr>
        <w:pStyle w:val="105"/>
        <w:spacing w:before="120" w:after="120"/>
        <w:rPr>
          <w:rFonts w:hint="eastAsia"/>
        </w:rPr>
      </w:pPr>
      <w:r>
        <w:rPr>
          <w:rFonts w:hint="eastAsia"/>
        </w:rPr>
        <w:t>溢水绝缘性能</w:t>
      </w:r>
    </w:p>
    <w:p>
      <w:pPr>
        <w:pStyle w:val="56"/>
        <w:ind w:firstLine="420"/>
      </w:pPr>
      <w:r>
        <w:rPr>
          <w:rFonts w:hint="eastAsia" w:cstheme="minorBidi"/>
        </w:rPr>
        <w:t>按GB/T 19411—2024中第6.11规定的试验方法进行。</w:t>
      </w:r>
    </w:p>
    <w:p>
      <w:pPr>
        <w:pStyle w:val="105"/>
        <w:spacing w:before="120" w:after="120"/>
        <w:rPr>
          <w:rFonts w:hint="eastAsia"/>
        </w:rPr>
      </w:pPr>
      <w:r>
        <w:rPr>
          <w:rFonts w:hint="eastAsia"/>
        </w:rPr>
        <w:t>限制热交换</w:t>
      </w:r>
    </w:p>
    <w:p>
      <w:pPr>
        <w:pStyle w:val="56"/>
        <w:ind w:firstLine="420"/>
      </w:pPr>
      <w:r>
        <w:rPr>
          <w:rFonts w:hint="eastAsia" w:cstheme="minorBidi"/>
        </w:rPr>
        <w:t>按GB/T 19411—2024中第6.12规定的试验方法进行。</w:t>
      </w:r>
    </w:p>
    <w:p>
      <w:pPr>
        <w:pStyle w:val="105"/>
        <w:spacing w:before="120" w:after="120"/>
        <w:rPr>
          <w:rFonts w:hint="eastAsia"/>
        </w:rPr>
      </w:pPr>
      <w:r>
        <w:rPr>
          <w:rFonts w:hint="eastAsia"/>
        </w:rPr>
        <w:t>电源故障保护</w:t>
      </w:r>
    </w:p>
    <w:p>
      <w:pPr>
        <w:pStyle w:val="56"/>
        <w:ind w:firstLine="420"/>
      </w:pPr>
      <w:r>
        <w:rPr>
          <w:rFonts w:hint="eastAsia" w:cstheme="minorBidi"/>
        </w:rPr>
        <w:t>按GB/T 19411—2024中第6.13规定的试验方法进行。</w:t>
      </w:r>
    </w:p>
    <w:p>
      <w:pPr>
        <w:pStyle w:val="105"/>
        <w:spacing w:before="120" w:after="120"/>
        <w:rPr>
          <w:rFonts w:hint="eastAsia"/>
        </w:rPr>
      </w:pPr>
      <w:r>
        <w:rPr>
          <w:rFonts w:hint="eastAsia"/>
        </w:rPr>
        <w:t>安全要求</w:t>
      </w:r>
    </w:p>
    <w:p>
      <w:pPr>
        <w:pStyle w:val="65"/>
        <w:spacing w:before="120" w:after="120"/>
        <w:rPr>
          <w:rFonts w:hint="eastAsia"/>
        </w:rPr>
      </w:pPr>
      <w:r>
        <w:rPr>
          <w:rFonts w:hint="eastAsia"/>
        </w:rPr>
        <w:t>防触电保护</w:t>
      </w:r>
    </w:p>
    <w:p>
      <w:pPr>
        <w:pStyle w:val="56"/>
        <w:ind w:firstLine="420"/>
      </w:pPr>
      <w:bookmarkStart w:id="65" w:name="OLE_LINK3"/>
      <w:r>
        <w:rPr>
          <w:rFonts w:hint="eastAsia" w:cstheme="minorBidi"/>
        </w:rPr>
        <w:t>按GB/T 19411—2024中第6.14.1规定的试验方法进行。</w:t>
      </w:r>
      <w:bookmarkEnd w:id="65"/>
    </w:p>
    <w:p>
      <w:pPr>
        <w:pStyle w:val="65"/>
        <w:spacing w:before="120" w:after="120"/>
        <w:rPr>
          <w:rFonts w:hint="eastAsia"/>
        </w:rPr>
      </w:pPr>
      <w:r>
        <w:rPr>
          <w:rFonts w:hint="eastAsia"/>
        </w:rPr>
        <w:t>对运动部件的防护</w:t>
      </w:r>
    </w:p>
    <w:p>
      <w:pPr>
        <w:pStyle w:val="56"/>
        <w:ind w:firstLine="420"/>
      </w:pPr>
      <w:r>
        <w:rPr>
          <w:rFonts w:hint="eastAsia" w:cstheme="minorBidi"/>
        </w:rPr>
        <w:t>按GB/T 19411—2024中第6.14.2规定的试验方法进行。</w:t>
      </w:r>
    </w:p>
    <w:p>
      <w:pPr>
        <w:pStyle w:val="65"/>
        <w:spacing w:before="120" w:after="120"/>
        <w:rPr>
          <w:rFonts w:hint="eastAsia"/>
        </w:rPr>
      </w:pPr>
      <w:r>
        <w:rPr>
          <w:rFonts w:hint="eastAsia"/>
        </w:rPr>
        <w:t>防水等级</w:t>
      </w:r>
    </w:p>
    <w:p>
      <w:pPr>
        <w:pStyle w:val="56"/>
        <w:ind w:firstLine="420"/>
      </w:pPr>
      <w:r>
        <w:rPr>
          <w:rFonts w:hint="eastAsia" w:cstheme="minorBidi"/>
        </w:rPr>
        <w:t>按GB/T 19411—2024中第6.14.3规定的试验方法进行。</w:t>
      </w:r>
    </w:p>
    <w:p>
      <w:pPr>
        <w:pStyle w:val="65"/>
        <w:spacing w:before="120" w:after="120"/>
        <w:rPr>
          <w:rFonts w:hint="eastAsia"/>
        </w:rPr>
      </w:pPr>
      <w:r>
        <w:rPr>
          <w:rFonts w:hint="eastAsia"/>
        </w:rPr>
        <w:t>泄漏电流</w:t>
      </w:r>
    </w:p>
    <w:p>
      <w:pPr>
        <w:pStyle w:val="56"/>
        <w:ind w:firstLine="420"/>
      </w:pPr>
      <w:r>
        <w:rPr>
          <w:rFonts w:hint="eastAsia" w:cstheme="minorBidi"/>
        </w:rPr>
        <w:t>按GB/T 19411—2024中第6.14.4规定的试验方法进行。</w:t>
      </w:r>
    </w:p>
    <w:p>
      <w:pPr>
        <w:pStyle w:val="65"/>
        <w:spacing w:before="120" w:after="120"/>
        <w:rPr>
          <w:rFonts w:hint="eastAsia"/>
        </w:rPr>
      </w:pPr>
      <w:r>
        <w:rPr>
          <w:rFonts w:hint="eastAsia"/>
        </w:rPr>
        <w:t>电气强度</w:t>
      </w:r>
    </w:p>
    <w:p>
      <w:pPr>
        <w:pStyle w:val="56"/>
        <w:ind w:firstLine="420"/>
      </w:pPr>
      <w:r>
        <w:rPr>
          <w:rFonts w:hint="eastAsia" w:cstheme="minorBidi"/>
        </w:rPr>
        <w:t>按GB/T 19411—2024中第6.14.5规定的试验方法进行。</w:t>
      </w:r>
    </w:p>
    <w:p>
      <w:pPr>
        <w:pStyle w:val="65"/>
        <w:spacing w:before="120" w:after="120"/>
        <w:rPr>
          <w:rFonts w:hint="eastAsia"/>
        </w:rPr>
      </w:pPr>
      <w:r>
        <w:rPr>
          <w:rFonts w:hint="eastAsia"/>
        </w:rPr>
        <w:t>接地装置</w:t>
      </w:r>
    </w:p>
    <w:p>
      <w:pPr>
        <w:pStyle w:val="56"/>
        <w:ind w:firstLine="420"/>
        <w:rPr>
          <w:rFonts w:cstheme="minorBidi"/>
        </w:rPr>
      </w:pPr>
      <w:r>
        <w:rPr>
          <w:rFonts w:hint="eastAsia" w:cstheme="minorBidi"/>
        </w:rPr>
        <w:t>按GB/T 19411—2024中第6.14.6规定的试验方法进行。</w:t>
      </w:r>
    </w:p>
    <w:p>
      <w:pPr>
        <w:pStyle w:val="65"/>
        <w:spacing w:before="120" w:after="120"/>
        <w:rPr>
          <w:rFonts w:hint="eastAsia"/>
        </w:rPr>
      </w:pPr>
      <w:r>
        <w:rPr>
          <w:rFonts w:hint="eastAsia"/>
        </w:rPr>
        <w:t>其他安全要求</w:t>
      </w:r>
    </w:p>
    <w:p>
      <w:pPr>
        <w:pStyle w:val="56"/>
        <w:ind w:firstLine="420"/>
        <w:rPr>
          <w:color w:val="FF0000"/>
        </w:rPr>
      </w:pPr>
      <w:r>
        <w:rPr>
          <w:rFonts w:hint="eastAsia" w:hAnsi="黑体" w:cs="黑体"/>
          <w:color w:val="FF0000"/>
          <w:szCs w:val="21"/>
        </w:rPr>
        <w:t>按GB/T 4706.1和GB/T 4706.32规定的试验方法进行。</w:t>
      </w:r>
    </w:p>
    <w:p>
      <w:pPr>
        <w:pStyle w:val="105"/>
        <w:spacing w:before="120" w:after="120"/>
        <w:rPr>
          <w:rFonts w:hint="eastAsia"/>
        </w:rPr>
      </w:pPr>
      <w:r>
        <w:rPr>
          <w:rFonts w:hint="eastAsia"/>
        </w:rPr>
        <w:t>电磁兼容</w:t>
      </w:r>
    </w:p>
    <w:p>
      <w:pPr>
        <w:pStyle w:val="56"/>
        <w:ind w:firstLine="420"/>
      </w:pPr>
      <w:r>
        <w:rPr>
          <w:rFonts w:hint="eastAsia" w:cstheme="minorBidi"/>
        </w:rPr>
        <w:t>按GB/T 19411—2024中第6.15规定的试验方法进行。</w:t>
      </w:r>
    </w:p>
    <w:p>
      <w:pPr>
        <w:pStyle w:val="105"/>
        <w:spacing w:before="120" w:after="120"/>
        <w:rPr>
          <w:rFonts w:hint="eastAsia"/>
        </w:rPr>
      </w:pPr>
      <w:r>
        <w:rPr>
          <w:rFonts w:hint="eastAsia"/>
        </w:rPr>
        <w:t>噪声</w:t>
      </w:r>
    </w:p>
    <w:p>
      <w:pPr>
        <w:pStyle w:val="56"/>
        <w:ind w:firstLine="420"/>
      </w:pPr>
      <w:r>
        <w:rPr>
          <w:rFonts w:hint="eastAsia" w:cstheme="minorBidi"/>
        </w:rPr>
        <w:t>按GB/T 19411—2024中第6.16规定的试验方法进行。</w:t>
      </w:r>
    </w:p>
    <w:p>
      <w:pPr>
        <w:pStyle w:val="105"/>
        <w:spacing w:before="120" w:after="120"/>
      </w:pPr>
      <w:r>
        <w:rPr>
          <w:rFonts w:hint="eastAsia"/>
        </w:rPr>
        <w:t>待机功率</w:t>
      </w:r>
    </w:p>
    <w:p>
      <w:pPr>
        <w:ind w:firstLine="420" w:firstLineChars="200"/>
      </w:pPr>
      <w:r>
        <w:rPr>
          <w:rFonts w:hint="eastAsia" w:cstheme="minorBidi"/>
          <w:szCs w:val="20"/>
        </w:rPr>
        <w:t>按</w:t>
      </w:r>
      <w:r>
        <w:rPr>
          <w:rFonts w:hint="eastAsia" w:ascii="宋体" w:hAnsi="Times New Roman" w:cstheme="minorBidi"/>
          <w:szCs w:val="20"/>
        </w:rPr>
        <w:t>GB/T 19411—2</w:t>
      </w:r>
      <w:r>
        <w:rPr>
          <w:rFonts w:hint="eastAsia" w:ascii="宋体" w:hAnsi="Times New Roman" w:eastAsia="宋体" w:cstheme="minorBidi"/>
          <w:kern w:val="0"/>
          <w:sz w:val="21"/>
          <w:szCs w:val="20"/>
          <w:lang w:val="en-US" w:eastAsia="zh-CN" w:bidi="ar-SA"/>
        </w:rPr>
        <w:t>024中第6.17规定的试验方</w:t>
      </w:r>
      <w:r>
        <w:rPr>
          <w:rFonts w:hint="eastAsia" w:cstheme="minorBidi"/>
          <w:szCs w:val="20"/>
        </w:rPr>
        <w:t>法进行。</w:t>
      </w:r>
    </w:p>
    <w:p>
      <w:pPr>
        <w:pStyle w:val="105"/>
        <w:spacing w:before="120" w:after="120"/>
      </w:pPr>
      <w:r>
        <w:rPr>
          <w:rFonts w:hint="eastAsia"/>
        </w:rPr>
        <w:t>脚轮整机力学性能</w:t>
      </w:r>
    </w:p>
    <w:p>
      <w:pPr>
        <w:pStyle w:val="65"/>
        <w:spacing w:before="120" w:after="120"/>
        <w:rPr>
          <w:rFonts w:hint="eastAsia"/>
        </w:rPr>
      </w:pPr>
      <w:r>
        <w:rPr>
          <w:rFonts w:hint="eastAsia"/>
        </w:rPr>
        <w:t>抗冲击性能</w:t>
      </w:r>
    </w:p>
    <w:p>
      <w:pPr>
        <w:pStyle w:val="56"/>
        <w:ind w:firstLine="420"/>
      </w:pPr>
      <w:r>
        <w:rPr>
          <w:rFonts w:hint="eastAsia" w:cstheme="minorBidi"/>
        </w:rPr>
        <w:t>按GB/T 19411—2024中第6.18.1规定的试验方法进行。</w:t>
      </w:r>
    </w:p>
    <w:p>
      <w:pPr>
        <w:pStyle w:val="65"/>
        <w:spacing w:before="120" w:after="120"/>
        <w:rPr>
          <w:rFonts w:hint="eastAsia"/>
        </w:rPr>
      </w:pPr>
      <w:r>
        <w:rPr>
          <w:rFonts w:hint="eastAsia"/>
        </w:rPr>
        <w:t>制动性能</w:t>
      </w:r>
    </w:p>
    <w:p>
      <w:pPr>
        <w:pStyle w:val="56"/>
        <w:ind w:firstLine="420"/>
      </w:pPr>
      <w:r>
        <w:rPr>
          <w:rFonts w:hint="eastAsia" w:cstheme="minorBidi"/>
        </w:rPr>
        <w:t>按GB/T 19411—2024中第6.18.2规定的试验方法进行。</w:t>
      </w:r>
    </w:p>
    <w:p>
      <w:pPr>
        <w:pStyle w:val="65"/>
        <w:spacing w:before="120" w:after="120"/>
        <w:rPr>
          <w:rFonts w:hint="eastAsia"/>
        </w:rPr>
      </w:pPr>
      <w:r>
        <w:rPr>
          <w:rFonts w:hint="eastAsia"/>
        </w:rPr>
        <w:t>动载荷试验</w:t>
      </w:r>
    </w:p>
    <w:p>
      <w:pPr>
        <w:pStyle w:val="56"/>
        <w:ind w:firstLine="420"/>
      </w:pPr>
      <w:r>
        <w:rPr>
          <w:rFonts w:hint="eastAsia" w:cstheme="minorBidi"/>
        </w:rPr>
        <w:t>按GB/T 19411—2024中第6.18.3规定的试验方法进行。</w:t>
      </w:r>
    </w:p>
    <w:p>
      <w:pPr>
        <w:pStyle w:val="105"/>
        <w:spacing w:before="120" w:after="120"/>
      </w:pPr>
      <w:r>
        <w:rPr>
          <w:rFonts w:hint="eastAsia"/>
        </w:rPr>
        <w:t>耐候性能</w:t>
      </w:r>
    </w:p>
    <w:p>
      <w:pPr>
        <w:pStyle w:val="65"/>
        <w:spacing w:before="120" w:after="120"/>
        <w:rPr>
          <w:rFonts w:hint="eastAsia"/>
        </w:rPr>
      </w:pPr>
      <w:r>
        <w:rPr>
          <w:rFonts w:hint="eastAsia"/>
        </w:rPr>
        <w:t>耐腐蚀性</w:t>
      </w:r>
    </w:p>
    <w:p>
      <w:pPr>
        <w:pStyle w:val="56"/>
        <w:ind w:firstLine="420"/>
      </w:pPr>
      <w:r>
        <w:rPr>
          <w:rFonts w:hint="eastAsia" w:cstheme="minorBidi"/>
        </w:rPr>
        <w:t>按GB/T 19411—2024中第6.19.1规定的试验方法进行。</w:t>
      </w:r>
    </w:p>
    <w:p>
      <w:pPr>
        <w:pStyle w:val="65"/>
        <w:spacing w:before="120" w:after="120"/>
        <w:rPr>
          <w:rFonts w:hint="eastAsia"/>
        </w:rPr>
      </w:pPr>
      <w:r>
        <w:rPr>
          <w:rFonts w:hint="eastAsia"/>
        </w:rPr>
        <w:t>漆膜附着力</w:t>
      </w:r>
    </w:p>
    <w:p>
      <w:pPr>
        <w:pStyle w:val="56"/>
        <w:ind w:firstLine="420"/>
      </w:pPr>
      <w:r>
        <w:rPr>
          <w:rFonts w:hint="eastAsia" w:cstheme="minorBidi"/>
        </w:rPr>
        <w:t>按GB/T 19411—2024中第6.19.2规定的试验方法进行。</w:t>
      </w:r>
    </w:p>
    <w:p>
      <w:pPr>
        <w:pStyle w:val="65"/>
        <w:spacing w:before="120" w:after="120"/>
        <w:rPr>
          <w:rFonts w:hint="eastAsia"/>
        </w:rPr>
      </w:pPr>
      <w:r>
        <w:rPr>
          <w:rFonts w:hint="eastAsia"/>
        </w:rPr>
        <w:t>塑料件老化</w:t>
      </w:r>
    </w:p>
    <w:p>
      <w:pPr>
        <w:pStyle w:val="56"/>
        <w:ind w:firstLine="420"/>
      </w:pPr>
      <w:r>
        <w:rPr>
          <w:rFonts w:hint="eastAsia" w:cstheme="minorBidi"/>
        </w:rPr>
        <w:t>按GB/T 19411—2024中第6.19.3规定的试验方法进行。</w:t>
      </w:r>
    </w:p>
    <w:p>
      <w:pPr>
        <w:pStyle w:val="105"/>
        <w:spacing w:before="120" w:after="120"/>
      </w:pPr>
      <w:r>
        <w:rPr>
          <w:rFonts w:hint="eastAsia"/>
        </w:rPr>
        <w:t>洁净空气量</w:t>
      </w:r>
    </w:p>
    <w:p>
      <w:pPr>
        <w:pStyle w:val="56"/>
        <w:ind w:firstLine="420"/>
      </w:pPr>
      <w:r>
        <w:rPr>
          <w:rFonts w:hint="eastAsia" w:cstheme="minorBidi"/>
        </w:rPr>
        <w:t>按GB/T 19411—2024中第6.20规定的试验方法进行。</w:t>
      </w:r>
    </w:p>
    <w:p>
      <w:pPr>
        <w:pStyle w:val="105"/>
        <w:spacing w:before="120" w:after="120"/>
      </w:pPr>
      <w:r>
        <w:rPr>
          <w:rFonts w:hint="eastAsia"/>
        </w:rPr>
        <w:t>除菌性能</w:t>
      </w:r>
    </w:p>
    <w:p>
      <w:pPr>
        <w:pStyle w:val="56"/>
        <w:ind w:firstLine="420"/>
      </w:pPr>
      <w:r>
        <w:rPr>
          <w:rFonts w:hint="eastAsia" w:cstheme="minorBidi"/>
        </w:rPr>
        <w:t>按GB/T 19411—2024中第6.21规定的试验方法进行。</w:t>
      </w:r>
    </w:p>
    <w:p>
      <w:pPr>
        <w:pStyle w:val="105"/>
        <w:spacing w:before="120" w:after="120"/>
      </w:pPr>
      <w:r>
        <w:rPr>
          <w:rFonts w:hint="eastAsia"/>
        </w:rPr>
        <w:t>抗菌性能</w:t>
      </w:r>
    </w:p>
    <w:p>
      <w:pPr>
        <w:pStyle w:val="56"/>
        <w:ind w:firstLine="420"/>
        <w:rPr>
          <w:rFonts w:hint="eastAsia" w:hAnsi="宋体"/>
          <w:kern w:val="2"/>
          <w:szCs w:val="22"/>
        </w:rPr>
      </w:pPr>
      <w:r>
        <w:rPr>
          <w:rFonts w:hint="eastAsia" w:hAnsi="宋体" w:cstheme="minorBidi"/>
          <w:kern w:val="2"/>
          <w:szCs w:val="22"/>
        </w:rPr>
        <w:t>按GB 21551.2、GB 21551.3规定的试验方法进行。</w:t>
      </w:r>
    </w:p>
    <w:p>
      <w:pPr>
        <w:pStyle w:val="104"/>
        <w:spacing w:before="240" w:after="240"/>
      </w:pPr>
      <w:r>
        <w:t>检验规则</w:t>
      </w:r>
    </w:p>
    <w:p>
      <w:pPr>
        <w:pStyle w:val="56"/>
        <w:ind w:firstLine="420"/>
        <w:rPr>
          <w:rFonts w:hint="eastAsia"/>
          <w:color w:val="auto"/>
        </w:rPr>
      </w:pPr>
      <w:r>
        <w:rPr>
          <w:rFonts w:hint="eastAsia"/>
        </w:rPr>
        <w:t>型式检</w:t>
      </w:r>
      <w:r>
        <w:rPr>
          <w:rFonts w:hint="eastAsia"/>
          <w:color w:val="auto"/>
        </w:rPr>
        <w:t>验项目增加“有害物质含量”</w:t>
      </w:r>
      <w:r>
        <w:rPr>
          <w:rFonts w:hint="eastAsia"/>
          <w:color w:val="auto"/>
          <w:lang w:eastAsia="zh-CN"/>
        </w:rPr>
        <w:t>“</w:t>
      </w:r>
      <w:r>
        <w:rPr>
          <w:rFonts w:hint="eastAsia"/>
          <w:color w:val="auto"/>
        </w:rPr>
        <w:t>抗菌性能</w:t>
      </w:r>
      <w:r>
        <w:rPr>
          <w:rFonts w:hint="eastAsia"/>
          <w:color w:val="auto"/>
          <w:lang w:eastAsia="zh-CN"/>
        </w:rPr>
        <w:t>”</w:t>
      </w:r>
      <w:r>
        <w:rPr>
          <w:rFonts w:hint="eastAsia"/>
          <w:color w:val="auto"/>
        </w:rPr>
        <w:t>，其他按GB/T 19411—2024中第7章的规定执行。</w:t>
      </w:r>
    </w:p>
    <w:p>
      <w:pPr>
        <w:pStyle w:val="104"/>
        <w:spacing w:before="240" w:after="240"/>
        <w:rPr>
          <w:color w:val="auto"/>
        </w:rPr>
      </w:pPr>
      <w:r>
        <w:rPr>
          <w:color w:val="auto"/>
        </w:rPr>
        <w:t>标志、包装、运输</w:t>
      </w:r>
      <w:r>
        <w:rPr>
          <w:rFonts w:hint="eastAsia"/>
          <w:color w:val="auto"/>
        </w:rPr>
        <w:t>和</w:t>
      </w:r>
      <w:r>
        <w:rPr>
          <w:color w:val="auto"/>
        </w:rPr>
        <w:t>贮存</w:t>
      </w:r>
    </w:p>
    <w:p>
      <w:pPr>
        <w:pStyle w:val="56"/>
        <w:ind w:firstLine="420"/>
        <w:rPr>
          <w:color w:val="auto"/>
        </w:rPr>
      </w:pPr>
      <w:r>
        <w:rPr>
          <w:rFonts w:hint="eastAsia" w:cstheme="minorBidi"/>
          <w:color w:val="auto"/>
        </w:rPr>
        <w:t>按GB/T 19411—2024中第8章的规定执行。</w:t>
      </w:r>
    </w:p>
    <w:p>
      <w:pPr>
        <w:pStyle w:val="104"/>
        <w:spacing w:before="240" w:after="240"/>
      </w:pPr>
      <w:r>
        <w:rPr>
          <w:rFonts w:hint="eastAsia"/>
        </w:rPr>
        <w:t>质量承诺</w:t>
      </w:r>
    </w:p>
    <w:p>
      <w:pPr>
        <w:pStyle w:val="162"/>
        <w:rPr>
          <w:rFonts w:hint="eastAsia"/>
        </w:rPr>
      </w:pPr>
      <w:r>
        <w:rPr>
          <w:rFonts w:hint="eastAsia"/>
        </w:rPr>
        <w:t>用户在遵守除湿机使用说明书规定的操作条件下，自购买除湿机之日起，除湿机质保期应不少于24个月。质保期间若因质量问题造成除湿机故障的，制造商应负责免费维修。</w:t>
      </w:r>
    </w:p>
    <w:p>
      <w:pPr>
        <w:pStyle w:val="162"/>
        <w:rPr>
          <w:rFonts w:hint="eastAsia"/>
        </w:rPr>
      </w:pPr>
      <w:r>
        <w:rPr>
          <w:rFonts w:hint="eastAsia"/>
        </w:rPr>
        <w:t>如因操作不当或外部不可抗拒的因素所造成的非质量问题导致除湿机故障，或超过质保期的，制造商应提供售后服务。</w:t>
      </w:r>
    </w:p>
    <w:p>
      <w:pPr>
        <w:pStyle w:val="162"/>
        <w:rPr>
          <w:rFonts w:hint="eastAsia"/>
        </w:rPr>
      </w:pPr>
      <w:r>
        <w:rPr>
          <w:rFonts w:hint="eastAsia"/>
        </w:rPr>
        <w:t>制造商或销售商应在24 h内对客户诉求做出响应。</w:t>
      </w:r>
    </w:p>
    <w:bookmarkEnd w:id="16"/>
    <w:p>
      <w:pPr>
        <w:pStyle w:val="199"/>
        <w:rPr>
          <w:vanish w:val="0"/>
        </w:rPr>
      </w:pPr>
      <w:bookmarkStart w:id="66" w:name="BookMark5"/>
    </w:p>
    <w:bookmarkEnd w:id="66"/>
    <w:p>
      <w:pPr>
        <w:pStyle w:val="56"/>
        <w:ind w:firstLine="0" w:firstLineChars="0"/>
        <w:jc w:val="center"/>
      </w:pPr>
      <w:bookmarkStart w:id="67" w:name="BookMark8"/>
      <w:r>
        <w:drawing>
          <wp:inline distT="0" distB="0" distL="0" distR="0">
            <wp:extent cx="1485900" cy="317500"/>
            <wp:effectExtent l="0" t="0" r="0" b="6350"/>
            <wp:docPr id="1933064050" name="图片 1"/>
            <wp:cNvGraphicFramePr/>
            <a:graphic xmlns:a="http://schemas.openxmlformats.org/drawingml/2006/main">
              <a:graphicData uri="http://schemas.openxmlformats.org/drawingml/2006/picture">
                <pic:pic xmlns:pic="http://schemas.openxmlformats.org/drawingml/2006/picture">
                  <pic:nvPicPr>
                    <pic:cNvPr id="1933064050"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黑体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T/FSS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T/FSS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63E42"/>
    <w:multiLevelType w:val="multilevel"/>
    <w:tmpl w:val="8AF63E4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9FA1FECE"/>
    <w:multiLevelType w:val="multilevel"/>
    <w:tmpl w:val="9FA1FEC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A3E4A25B"/>
    <w:multiLevelType w:val="multilevel"/>
    <w:tmpl w:val="A3E4A25B"/>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B83D0333"/>
    <w:multiLevelType w:val="multilevel"/>
    <w:tmpl w:val="B83D033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BAAEAE9B"/>
    <w:multiLevelType w:val="multilevel"/>
    <w:tmpl w:val="BAAEAE9B"/>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6">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2">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5">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2EB44ACC"/>
    <w:multiLevelType w:val="multilevel"/>
    <w:tmpl w:val="2EB44AC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33"/>
  </w:num>
  <w:num w:numId="3">
    <w:abstractNumId w:val="10"/>
  </w:num>
  <w:num w:numId="4">
    <w:abstractNumId w:val="29"/>
  </w:num>
  <w:num w:numId="5">
    <w:abstractNumId w:val="24"/>
  </w:num>
  <w:num w:numId="6">
    <w:abstractNumId w:val="19"/>
  </w:num>
  <w:num w:numId="7">
    <w:abstractNumId w:val="13"/>
  </w:num>
  <w:num w:numId="8">
    <w:abstractNumId w:val="8"/>
  </w:num>
  <w:num w:numId="9">
    <w:abstractNumId w:val="14"/>
  </w:num>
  <w:num w:numId="10">
    <w:abstractNumId w:val="22"/>
  </w:num>
  <w:num w:numId="11">
    <w:abstractNumId w:val="31"/>
  </w:num>
  <w:num w:numId="12">
    <w:abstractNumId w:val="17"/>
  </w:num>
  <w:num w:numId="13">
    <w:abstractNumId w:val="18"/>
  </w:num>
  <w:num w:numId="14">
    <w:abstractNumId w:val="12"/>
  </w:num>
  <w:num w:numId="15">
    <w:abstractNumId w:val="25"/>
  </w:num>
  <w:num w:numId="16">
    <w:abstractNumId w:val="27"/>
  </w:num>
  <w:num w:numId="17">
    <w:abstractNumId w:val="23"/>
  </w:num>
  <w:num w:numId="18">
    <w:abstractNumId w:val="35"/>
  </w:num>
  <w:num w:numId="19">
    <w:abstractNumId w:val="21"/>
  </w:num>
  <w:num w:numId="20">
    <w:abstractNumId w:val="6"/>
  </w:num>
  <w:num w:numId="21">
    <w:abstractNumId w:val="15"/>
  </w:num>
  <w:num w:numId="22">
    <w:abstractNumId w:val="36"/>
  </w:num>
  <w:num w:numId="23">
    <w:abstractNumId w:val="26"/>
  </w:num>
  <w:num w:numId="24">
    <w:abstractNumId w:val="11"/>
  </w:num>
  <w:num w:numId="25">
    <w:abstractNumId w:val="32"/>
  </w:num>
  <w:num w:numId="26">
    <w:abstractNumId w:val="34"/>
  </w:num>
  <w:num w:numId="27">
    <w:abstractNumId w:val="7"/>
  </w:num>
  <w:num w:numId="28">
    <w:abstractNumId w:val="9"/>
  </w:num>
  <w:num w:numId="29">
    <w:abstractNumId w:val="20"/>
  </w:num>
  <w:num w:numId="30">
    <w:abstractNumId w:val="30"/>
  </w:num>
  <w:num w:numId="31">
    <w:abstractNumId w:val="28"/>
  </w:num>
  <w:num w:numId="32">
    <w:abstractNumId w:val="16"/>
  </w:num>
  <w:num w:numId="33">
    <w:abstractNumId w:val="0"/>
  </w:num>
  <w:num w:numId="34">
    <w:abstractNumId w:val="4"/>
  </w:num>
  <w:num w:numId="35">
    <w:abstractNumId w:val="2"/>
  </w:num>
  <w:num w:numId="36">
    <w:abstractNumId w:val="1"/>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attachedTemplate r:id="rId1"/>
  <w:documentProtection w:edit="forms" w:enforcement="1" w:cryptProviderType="rsaAES" w:cryptAlgorithmClass="hash" w:cryptAlgorithmType="typeAny" w:cryptAlgorithmSid="14" w:cryptSpinCount="100000" w:hash="2MPT5yNB0OstKK+tWHyBo++lmHmf8joZCnTV/mfyCWISct+QfwD5cLz6/Osbvvgk5PB9DENYDKXzS9E3SsX5Fg==" w:salt="zlaLBY+fXcwRO3Yk8LG9T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97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AC2"/>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A9A"/>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1BC8"/>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42D9"/>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089E"/>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C22"/>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976"/>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F1B"/>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BC7BCC"/>
    <w:rsid w:val="08796327"/>
    <w:rsid w:val="33BB27FB"/>
    <w:rsid w:val="34C32EF2"/>
    <w:rsid w:val="37270EEB"/>
    <w:rsid w:val="54C803E4"/>
    <w:rsid w:val="54FA7679"/>
    <w:rsid w:val="565D7F55"/>
    <w:rsid w:val="60962F04"/>
    <w:rsid w:val="61264866"/>
    <w:rsid w:val="77943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link w:val="23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link w:val="243"/>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link w:val="235"/>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link w:val="232"/>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link w:val="233"/>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link w:val="23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link w:val="231"/>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link w:val="236"/>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标准文件_段 字符"/>
    <w:basedOn w:val="28"/>
    <w:qFormat/>
    <w:uiPriority w:val="0"/>
    <w:rPr>
      <w:rFonts w:ascii="宋体" w:hAnsi="Times New Roman" w:eastAsia="宋体"/>
      <w:sz w:val="21"/>
    </w:rPr>
  </w:style>
  <w:style w:type="character" w:customStyle="1" w:styleId="231">
    <w:name w:val="实施日期 字符"/>
    <w:basedOn w:val="28"/>
    <w:link w:val="154"/>
    <w:qFormat/>
    <w:uiPriority w:val="0"/>
    <w:rPr>
      <w:rFonts w:ascii="Times New Roman" w:hAnsi="Times New Roman" w:eastAsia="黑体"/>
      <w:sz w:val="28"/>
    </w:rPr>
  </w:style>
  <w:style w:type="character" w:customStyle="1" w:styleId="232">
    <w:name w:val="标准文件_章标题 字符"/>
    <w:basedOn w:val="28"/>
    <w:link w:val="104"/>
    <w:qFormat/>
    <w:uiPriority w:val="0"/>
    <w:rPr>
      <w:rFonts w:ascii="黑体" w:hAnsi="Times New Roman" w:eastAsia="黑体"/>
      <w:sz w:val="21"/>
    </w:rPr>
  </w:style>
  <w:style w:type="character" w:customStyle="1" w:styleId="233">
    <w:name w:val="标准文件_一级条标题 字符"/>
    <w:basedOn w:val="28"/>
    <w:link w:val="105"/>
    <w:qFormat/>
    <w:uiPriority w:val="0"/>
    <w:rPr>
      <w:rFonts w:ascii="黑体" w:hAnsi="Times New Roman" w:eastAsia="黑体"/>
      <w:sz w:val="21"/>
    </w:rPr>
  </w:style>
  <w:style w:type="character" w:customStyle="1" w:styleId="234">
    <w:name w:val="标准文件_二级条标题 字符"/>
    <w:basedOn w:val="28"/>
    <w:link w:val="65"/>
    <w:qFormat/>
    <w:uiPriority w:val="0"/>
    <w:rPr>
      <w:rFonts w:ascii="黑体" w:hAnsi="Times New Roman" w:eastAsia="黑体"/>
      <w:sz w:val="21"/>
    </w:rPr>
  </w:style>
  <w:style w:type="character" w:customStyle="1" w:styleId="235">
    <w:name w:val="标准文件_三级条标题 字符"/>
    <w:basedOn w:val="28"/>
    <w:link w:val="94"/>
    <w:qFormat/>
    <w:uiPriority w:val="0"/>
    <w:rPr>
      <w:rFonts w:ascii="黑体" w:hAnsi="Times New Roman" w:eastAsia="黑体"/>
      <w:sz w:val="21"/>
    </w:rPr>
  </w:style>
  <w:style w:type="character" w:customStyle="1" w:styleId="236">
    <w:name w:val="标准文件_二级无标题 字符"/>
    <w:basedOn w:val="28"/>
    <w:link w:val="165"/>
    <w:qFormat/>
    <w:uiPriority w:val="0"/>
    <w:rPr>
      <w:rFonts w:ascii="宋体" w:hAnsi="Times New Roman"/>
      <w:sz w:val="21"/>
    </w:rPr>
  </w:style>
  <w:style w:type="character" w:customStyle="1" w:styleId="237">
    <w:name w:val="标准文件_正文表标题 字符"/>
    <w:basedOn w:val="28"/>
    <w:link w:val="112"/>
    <w:qFormat/>
    <w:uiPriority w:val="0"/>
    <w:rPr>
      <w:rFonts w:ascii="黑体" w:hAnsi="Times New Roman" w:eastAsia="黑体"/>
      <w:sz w:val="21"/>
    </w:rPr>
  </w:style>
  <w:style w:type="paragraph" w:customStyle="1" w:styleId="238">
    <w:name w:val="数字编号列项（二级）"/>
    <w:qFormat/>
    <w:uiPriority w:val="0"/>
    <w:pPr>
      <w:tabs>
        <w:tab w:val="left" w:pos="1259"/>
      </w:tabs>
      <w:ind w:left="1259" w:hanging="420"/>
      <w:jc w:val="both"/>
    </w:pPr>
    <w:rPr>
      <w:rFonts w:ascii="宋体" w:hAnsi="Times New Roman" w:eastAsia="宋体" w:cs="Times New Roman"/>
      <w:sz w:val="21"/>
      <w:lang w:val="en-US" w:eastAsia="zh-CN" w:bidi="ar-SA"/>
    </w:rPr>
  </w:style>
  <w:style w:type="paragraph" w:customStyle="1" w:styleId="239">
    <w:name w:val="字母编号列项（一级）"/>
    <w:qFormat/>
    <w:uiPriority w:val="0"/>
    <w:pPr>
      <w:tabs>
        <w:tab w:val="left" w:pos="839"/>
      </w:tabs>
      <w:ind w:left="839" w:hanging="419"/>
      <w:jc w:val="both"/>
    </w:pPr>
    <w:rPr>
      <w:rFonts w:ascii="宋体" w:hAnsi="Times New Roman" w:eastAsia="宋体" w:cs="Times New Roman"/>
      <w:sz w:val="21"/>
      <w:lang w:val="en-US" w:eastAsia="zh-CN" w:bidi="ar-SA"/>
    </w:rPr>
  </w:style>
  <w:style w:type="paragraph" w:customStyle="1" w:styleId="240">
    <w:name w:val="编号列项（三级）"/>
    <w:qFormat/>
    <w:uiPriority w:val="0"/>
    <w:pPr>
      <w:tabs>
        <w:tab w:val="left" w:pos="0"/>
      </w:tabs>
      <w:ind w:left="1678" w:hanging="419"/>
    </w:pPr>
    <w:rPr>
      <w:rFonts w:ascii="宋体" w:hAnsi="Times New Roman" w:eastAsia="宋体" w:cs="Times New Roman"/>
      <w:sz w:val="21"/>
      <w:lang w:val="en-US" w:eastAsia="zh-CN" w:bidi="ar-SA"/>
    </w:rPr>
  </w:style>
  <w:style w:type="paragraph" w:customStyle="1" w:styleId="241">
    <w:name w:val="Table Paragraph"/>
    <w:basedOn w:val="1"/>
    <w:qFormat/>
    <w:uiPriority w:val="1"/>
    <w:pPr>
      <w:adjustRightInd/>
      <w:spacing w:before="129" w:line="240" w:lineRule="auto"/>
    </w:pPr>
    <w:rPr>
      <w:rFonts w:ascii="宋体" w:hAnsi="Times New Roman" w:cstheme="minorBidi"/>
      <w:szCs w:val="22"/>
    </w:rPr>
  </w:style>
  <w:style w:type="paragraph" w:customStyle="1" w:styleId="242">
    <w:name w:val="注："/>
    <w:next w:val="1"/>
    <w:qFormat/>
    <w:uiPriority w:val="0"/>
    <w:pPr>
      <w:widowControl w:val="0"/>
      <w:autoSpaceDE w:val="0"/>
      <w:autoSpaceDN w:val="0"/>
      <w:ind w:left="737" w:hanging="374"/>
      <w:jc w:val="both"/>
    </w:pPr>
    <w:rPr>
      <w:rFonts w:ascii="宋体" w:hAnsi="Times New Roman" w:eastAsia="宋体" w:cs="Times New Roman"/>
      <w:sz w:val="18"/>
      <w:szCs w:val="18"/>
      <w:lang w:val="en-US" w:eastAsia="zh-CN" w:bidi="ar-SA"/>
    </w:rPr>
  </w:style>
  <w:style w:type="character" w:customStyle="1" w:styleId="243">
    <w:name w:val="标准文件_附录一级条标题 字符"/>
    <w:basedOn w:val="28"/>
    <w:link w:val="78"/>
    <w:qFormat/>
    <w:uiPriority w:val="0"/>
    <w:rPr>
      <w:rFonts w:ascii="黑体" w:hAnsi="Times New Roman" w:eastAsia="黑体"/>
      <w:kern w:val="21"/>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A4AE59237CC47849C2296FFA9DE8F60"/>
        <w:style w:val=""/>
        <w:category>
          <w:name w:val="常规"/>
          <w:gallery w:val="placeholder"/>
        </w:category>
        <w:types>
          <w:type w:val="bbPlcHdr"/>
        </w:types>
        <w:behaviors>
          <w:behavior w:val="content"/>
        </w:behaviors>
        <w:description w:val=""/>
        <w:guid w:val="{C884EAAF-F0C1-4C9D-B662-E8CCB9C1211A}"/>
      </w:docPartPr>
      <w:docPartBody>
        <w:p>
          <w:pPr>
            <w:pStyle w:val="5"/>
          </w:pPr>
          <w:r>
            <w:rPr>
              <w:rStyle w:val="4"/>
              <w:rFonts w:hint="eastAsia"/>
            </w:rPr>
            <w:t>单击或点击此处输入文字。</w:t>
          </w:r>
        </w:p>
      </w:docPartBody>
    </w:docPart>
    <w:docPart>
      <w:docPartPr>
        <w:name w:val="9C353C7D1E074FBE8E43C6CB682EA19E"/>
        <w:style w:val=""/>
        <w:category>
          <w:name w:val="常规"/>
          <w:gallery w:val="placeholder"/>
        </w:category>
        <w:types>
          <w:type w:val="bbPlcHdr"/>
        </w:types>
        <w:behaviors>
          <w:behavior w:val="content"/>
        </w:behaviors>
        <w:description w:val=""/>
        <w:guid w:val="{A1A2D49F-3AF1-47A0-8E38-08698F881CCF}"/>
      </w:docPartPr>
      <w:docPartBody>
        <w:p>
          <w:pPr>
            <w:pStyle w:val="6"/>
          </w:pPr>
          <w:r>
            <w:rPr>
              <w:rStyle w:val="4"/>
              <w:rFonts w:hint="eastAsia"/>
            </w:rPr>
            <w:t>选择一项。</w:t>
          </w:r>
        </w:p>
      </w:docPartBody>
    </w:docPart>
    <w:docPart>
      <w:docPartPr>
        <w:name w:val="642D42A3EFF643FC924F06BCE2FC6447"/>
        <w:style w:val=""/>
        <w:category>
          <w:name w:val="常规"/>
          <w:gallery w:val="placeholder"/>
        </w:category>
        <w:types>
          <w:type w:val="bbPlcHdr"/>
        </w:types>
        <w:behaviors>
          <w:behavior w:val="content"/>
        </w:behaviors>
        <w:description w:val=""/>
        <w:guid w:val="{393641F3-F860-4C24-A3EF-314C525682C8}"/>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EF5"/>
    <w:rsid w:val="00843EF5"/>
    <w:rsid w:val="00B20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A4AE59237CC47849C2296FFA9DE8F6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9C353C7D1E074FBE8E43C6CB682EA19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42D42A3EFF643FC924F06BCE2FC644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15</Pages>
  <Words>1680</Words>
  <Characters>2035</Characters>
  <Lines>880</Lines>
  <Paragraphs>792</Paragraphs>
  <TotalTime>11</TotalTime>
  <ScaleCrop>false</ScaleCrop>
  <LinksUpToDate>false</LinksUpToDate>
  <CharactersWithSpaces>2128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2025-05-16T13:46:00Z</dcterms:created>
  <dc:creator>ljs</dc:creator>
  <dc:description>&lt;config cover="true" show_menu="true" version="1.0.0" doctype="SDKXY"&gt;_x000d_
&lt;/config&gt;</dc:description>
  <cp:lastModifiedBy>冬雪</cp:lastModifiedBy>
  <cp:lastPrinted>2021-02-02T08:22:00Z</cp:lastPrinted>
  <dcterms:modified xsi:type="dcterms:W3CDTF">2025-05-28T07:27:25Z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eyJoZGlkIjoiODQ3NzI0YjNlNjM1OWRmMTNmYzVhZDE1Nzk1MzVlOTEiLCJ1c2VySWQiOiIxMjk0NjgwNDg2In0=</vt:lpwstr>
  </property>
  <property fmtid="{D5CDD505-2E9C-101B-9397-08002B2CF9AE}" pid="15" name="KSOProductBuildVer">
    <vt:lpwstr>2052-11.8.2.12094</vt:lpwstr>
  </property>
  <property fmtid="{D5CDD505-2E9C-101B-9397-08002B2CF9AE}" pid="16" name="ICV">
    <vt:lpwstr>3037AEFE908B4468BC827D037A737FC3_12</vt:lpwstr>
  </property>
</Properties>
</file>